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Integrated Frameworks for Multidisciplinary Reasoning: An Exhaustive Analysis of Symbolic Notation Systems in Active Use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Executive Summary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contemporary landscape of systems science, artificial intelligence, and knowledge representation is increasingly defined by a critical necessity: the requirement to bridge the semantic chasm between human-readable conceptual models and machine-executable logic. As technical systems grow in complexity—spanning physical hardware, software control, biological interaction, and legal compliance—traditional modeling silos have failed to provide a unified "systems language." The "GoodReason" model serves as a primary case study for this integration, employing a multidisciplinary approach rooted in semiotics and systems theory to create a symbolic notation capable of spanning diverse domains.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report provides an exhaustive, deep-dive analysis of models analogous to GoodReason. It investigates frameworks that combine a multidisciplinary scope with rigorous symbolic notation and are currently in active use within industrial, academic, or computational contexts. The analysis reveals that the defining characteristic of these "similar models" is their reliance on category theory, graph theory, or advanced semiotics to formalize relationships between disparate types of knowledge. Unlike purely statistical AI models, these frameworks prioritize structural correctness, provenance, and logical inference.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report details several key ecosystems. First, it explores the Category Theory-based "Olog" and "Algebraic Property Graph" systems used in data integration, exemplified by Conexus AI and Uber's Dragon/Hydra architectures. Second, it examines Object-Process Methodology (OPM) and Design Structure Matrices (DSM) in systems engineering, highlighting their role in ISO standards and cloud-based modeling. Third, it traces the evolution of Conceptual Graphs into modern Knowledge Graph applications, including specific tools like CoGui and Amine. Finally, it analyzes emerging Neuro-Symbolic architectures that fuse deep learning with symbolic logic for high-stakes decision-making.</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B">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 The Crisis of Complexity and the Call for Unified Modeling</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1.1 The "Tower of Babel" in Modern Systems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central challenge of twenty-first-century engineering and science is not the discovery of new facts, but the integration of existing knowledge. In any large-scale endeavor—be it the construction of a satellite, the management of a global supply chain, or the diagnosis of a complex disease—experts from multiple disciplines must collaborate. However, these experts speak different technical languages. A structural engineer views a bridge as a system of load-bearing vectors; a software engineer views the same bridge's sensor network as a graph of data streams; a legal analyst views it as a locus of liability and compliance norms. This fragmentation leads to what systems theorists call the "Tower of Babel" problem: the inability to rigorously translate insights from one domain to another without semantic loss.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"GoodReason" model, as identified in the research query, attempts to address this through a "systems language" rooted in semiotics.</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 By basing its symbolic notation on the Peircean semiotic triangle, it seeks to create a holarchy—a nested hierarchy of meaning—that connects abstract theory (science) with concrete practice (technology).</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 This approach suggests that a model is only useful if it can serve as a translation layer, a "Rosetta Stone" that allows the "exact mathematical relationships" of one field to be understood in the context of another.</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 The user’s query seeks active analogues to this ambitious goal: models that are not merely theoretical curiosities but are "used somewhere" to solve real-world multidisciplinary problems.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1.2 The Criteria for "Similar Models"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To conduct this analysis, we must rigorously define what constitutes a "similar model" to GoodReason. Based on the provided research material, three core criteria emerge:</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Multidisciplinary Scope:</w:t>
      </w:r>
      <w:r w:rsidDel="00000000" w:rsidR="00000000" w:rsidRPr="00000000">
        <w:rPr>
          <w:rFonts w:ascii="Google Sans Text" w:cs="Google Sans Text" w:eastAsia="Google Sans Text" w:hAnsi="Google Sans Text"/>
          <w:rtl w:val="0"/>
        </w:rPr>
        <w:t xml:space="preserve"> The model must effectively handle concepts from disparate fields. It cannot be limited to software or physics alone; it must handle the intersection of these fields, potentially including social, legal, or biological dimensions.</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Symbolic Notation:</w:t>
      </w:r>
      <w:r w:rsidDel="00000000" w:rsidR="00000000" w:rsidRPr="00000000">
        <w:rPr>
          <w:rFonts w:ascii="Google Sans Text" w:cs="Google Sans Text" w:eastAsia="Google Sans Text" w:hAnsi="Google Sans Text"/>
          <w:rtl w:val="0"/>
        </w:rPr>
        <w:t xml:space="preserve"> The framework must utilize a formalized set of signs, symbols, or diagrammatic syntax. This distinguishes it from natural language descriptions or purely numerical simulations. The notation acts as the "rigorous" layer that prevents ambiguity.</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Active Usage:</w:t>
      </w:r>
      <w:r w:rsidDel="00000000" w:rsidR="00000000" w:rsidRPr="00000000">
        <w:rPr>
          <w:rFonts w:ascii="Google Sans Text" w:cs="Google Sans Text" w:eastAsia="Google Sans Text" w:hAnsi="Google Sans Text"/>
          <w:rtl w:val="0"/>
        </w:rPr>
        <w:t xml:space="preserve"> The model must have a footprint in the current technological or academic landscape (2024-2025). It should be implemented in software tools, standardized in industry protocols, or actively developed in research labs.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1.3 The Shift to Executable Specifications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 recurring theme throughout this report is the transition from </w:t>
      </w:r>
      <w:r w:rsidDel="00000000" w:rsidR="00000000" w:rsidRPr="00000000">
        <w:rPr>
          <w:rFonts w:ascii="Google Sans Text" w:cs="Google Sans Text" w:eastAsia="Google Sans Text" w:hAnsi="Google Sans Text"/>
          <w:i w:val="1"/>
          <w:iCs w:val="1"/>
          <w:rtl w:val="0"/>
        </w:rPr>
        <w:t xml:space="preserve">descriptive</w:t>
      </w:r>
      <w:r w:rsidDel="00000000" w:rsidR="00000000" w:rsidRPr="00000000">
        <w:rPr>
          <w:rFonts w:ascii="Google Sans Text" w:cs="Google Sans Text" w:eastAsia="Google Sans Text" w:hAnsi="Google Sans Text"/>
          <w:rtl w:val="0"/>
        </w:rPr>
        <w:t xml:space="preserve"> to </w:t>
      </w:r>
      <w:r w:rsidDel="00000000" w:rsidR="00000000" w:rsidRPr="00000000">
        <w:rPr>
          <w:rFonts w:ascii="Google Sans Text" w:cs="Google Sans Text" w:eastAsia="Google Sans Text" w:hAnsi="Google Sans Text"/>
          <w:i w:val="1"/>
          <w:iCs w:val="1"/>
          <w:rtl w:val="0"/>
        </w:rPr>
        <w:t xml:space="preserve">executable</w:t>
      </w:r>
      <w:r w:rsidDel="00000000" w:rsidR="00000000" w:rsidRPr="00000000">
        <w:rPr>
          <w:rFonts w:ascii="Google Sans Text" w:cs="Google Sans Text" w:eastAsia="Google Sans Text" w:hAnsi="Google Sans Text"/>
          <w:rtl w:val="0"/>
        </w:rPr>
        <w:t xml:space="preserve"> specifications. Historically, multidisciplinary models were static diagrams—pictures drawn on whiteboards to help humans communicate. The models analyzed here—Ologs, OPM, Neuro-Symbolic architectures—represent a paradigm shift. In these frameworks, the diagram </w:t>
      </w:r>
      <w:r w:rsidDel="00000000" w:rsidR="00000000" w:rsidRPr="00000000">
        <w:rPr>
          <w:rFonts w:ascii="Google Sans Text" w:cs="Google Sans Text" w:eastAsia="Google Sans Text" w:hAnsi="Google Sans Text"/>
          <w:i w:val="1"/>
          <w:iCs w:val="1"/>
          <w:rtl w:val="0"/>
        </w:rPr>
        <w:t xml:space="preserve">is</w:t>
      </w:r>
      <w:r w:rsidDel="00000000" w:rsidR="00000000" w:rsidRPr="00000000">
        <w:rPr>
          <w:rFonts w:ascii="Google Sans Text" w:cs="Google Sans Text" w:eastAsia="Google Sans Text" w:hAnsi="Google Sans Text"/>
          <w:rtl w:val="0"/>
        </w:rPr>
        <w:t xml:space="preserve"> the code. The symbolic notation possesses inherent operational semantics that can be compiled, simulated, or formally verified by a machine.</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 This shift is driven by the need for "Correct-by-Construction" methodologies, where the system prevents the user from creating invalid models, a feature prominent in tools like OPCloud and Conexus CQL.</w:t>
      </w:r>
      <w:r w:rsidDel="00000000" w:rsidR="00000000" w:rsidRPr="00000000">
        <w:rPr>
          <w:rFonts w:ascii="Google Sans Text" w:cs="Google Sans Text" w:eastAsia="Google Sans Text" w:hAnsi="Google Sans Text"/>
          <w:sz w:val="24"/>
          <w:szCs w:val="24"/>
          <w:vertAlign w:val="superscript"/>
          <w:rtl w:val="0"/>
        </w:rPr>
        <w:t xml:space="preserve">4</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1E">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 Theoretical Foundations: Semiotics and the Systems Approach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To understand the operational mechanics of models like GoodReason, one must first deconstruct the theoretical underpinnings that allow a notation system to function across disciplines. The architecture of meaning—how a digital symbol comes to represent a physical reality—is the domain of semiotics.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2.1 The Semiotic Triangle in Computational Contexts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semiotic triangle, attributed to Charles Sanders Peirce, posits a triadic relationship between the </w:t>
      </w:r>
      <w:r w:rsidDel="00000000" w:rsidR="00000000" w:rsidRPr="00000000">
        <w:rPr>
          <w:rFonts w:ascii="Google Sans Text" w:cs="Google Sans Text" w:eastAsia="Google Sans Text" w:hAnsi="Google Sans Text"/>
          <w:i w:val="1"/>
          <w:iCs w:val="1"/>
          <w:rtl w:val="0"/>
        </w:rPr>
        <w:t xml:space="preserve">sign</w:t>
      </w:r>
      <w:r w:rsidDel="00000000" w:rsidR="00000000" w:rsidRPr="00000000">
        <w:rPr>
          <w:rFonts w:ascii="Google Sans Text" w:cs="Google Sans Text" w:eastAsia="Google Sans Text" w:hAnsi="Google Sans Text"/>
          <w:rtl w:val="0"/>
        </w:rPr>
        <w:t xml:space="preserve"> (symbol), the </w:t>
      </w:r>
      <w:r w:rsidDel="00000000" w:rsidR="00000000" w:rsidRPr="00000000">
        <w:rPr>
          <w:rFonts w:ascii="Google Sans Text" w:cs="Google Sans Text" w:eastAsia="Google Sans Text" w:hAnsi="Google Sans Text"/>
          <w:i w:val="1"/>
          <w:iCs w:val="1"/>
          <w:rtl w:val="0"/>
        </w:rPr>
        <w:t xml:space="preserve">object</w:t>
      </w:r>
      <w:r w:rsidDel="00000000" w:rsidR="00000000" w:rsidRPr="00000000">
        <w:rPr>
          <w:rFonts w:ascii="Google Sans Text" w:cs="Google Sans Text" w:eastAsia="Google Sans Text" w:hAnsi="Google Sans Text"/>
          <w:rtl w:val="0"/>
        </w:rPr>
        <w:t xml:space="preserve"> (referent), and the </w:t>
      </w:r>
      <w:r w:rsidDel="00000000" w:rsidR="00000000" w:rsidRPr="00000000">
        <w:rPr>
          <w:rFonts w:ascii="Google Sans Text" w:cs="Google Sans Text" w:eastAsia="Google Sans Text" w:hAnsi="Google Sans Text"/>
          <w:i w:val="1"/>
          <w:iCs w:val="1"/>
          <w:rtl w:val="0"/>
        </w:rPr>
        <w:t xml:space="preserve">interpretant</w:t>
      </w:r>
      <w:r w:rsidDel="00000000" w:rsidR="00000000" w:rsidRPr="00000000">
        <w:rPr>
          <w:rFonts w:ascii="Google Sans Text" w:cs="Google Sans Text" w:eastAsia="Google Sans Text" w:hAnsi="Google Sans Text"/>
          <w:rtl w:val="0"/>
        </w:rPr>
        <w:t xml:space="preserve"> (concept/meaning).</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This framework is not merely philosophical; it is the architectural basis for several computational systems that attempt to ground symbolic notation in reality. Unlike the dyadic model of Saussure (signifier/signified), which dominates linguistics, Peirce’s triad includes the </w:t>
      </w:r>
      <w:r w:rsidDel="00000000" w:rsidR="00000000" w:rsidRPr="00000000">
        <w:rPr>
          <w:rFonts w:ascii="Google Sans Text" w:cs="Google Sans Text" w:eastAsia="Google Sans Text" w:hAnsi="Google Sans Text"/>
          <w:i w:val="1"/>
          <w:iCs w:val="1"/>
          <w:rtl w:val="0"/>
        </w:rPr>
        <w:t xml:space="preserve">object</w:t>
      </w:r>
      <w:r w:rsidDel="00000000" w:rsidR="00000000" w:rsidRPr="00000000">
        <w:rPr>
          <w:rFonts w:ascii="Google Sans Text" w:cs="Google Sans Text" w:eastAsia="Google Sans Text" w:hAnsi="Google Sans Text"/>
          <w:rtl w:val="0"/>
        </w:rPr>
        <w:t xml:space="preserve">—the reality being modeled—and the </w:t>
      </w:r>
      <w:r w:rsidDel="00000000" w:rsidR="00000000" w:rsidRPr="00000000">
        <w:rPr>
          <w:rFonts w:ascii="Google Sans Text" w:cs="Google Sans Text" w:eastAsia="Google Sans Text" w:hAnsi="Google Sans Text"/>
          <w:i w:val="1"/>
          <w:iCs w:val="1"/>
          <w:rtl w:val="0"/>
        </w:rPr>
        <w:t xml:space="preserve">interpretant</w:t>
      </w:r>
      <w:r w:rsidDel="00000000" w:rsidR="00000000" w:rsidRPr="00000000">
        <w:rPr>
          <w:rFonts w:ascii="Google Sans Text" w:cs="Google Sans Text" w:eastAsia="Google Sans Text" w:hAnsi="Google Sans Text"/>
          <w:rtl w:val="0"/>
        </w:rPr>
        <w:t xml:space="preserve">—the effect of the sign on the observer or system.</w:t>
      </w:r>
      <w:r w:rsidDel="00000000" w:rsidR="00000000" w:rsidRPr="00000000">
        <w:rPr>
          <w:rFonts w:ascii="Google Sans Text" w:cs="Google Sans Text" w:eastAsia="Google Sans Text" w:hAnsi="Google Sans Text"/>
          <w:sz w:val="24"/>
          <w:szCs w:val="24"/>
          <w:vertAlign w:val="superscript"/>
          <w:rtl w:val="0"/>
        </w:rPr>
        <w:t xml:space="preserve">8</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In the context of GoodReason and its analogues, the semiotic triangle is operationalized to distinguish between the digital representation (the symbol), the real-world entity (the object), and the system's internal logic or schema (the interpretant). This distinction is crucial for multidisciplinary modeling because different disciplines often share symbols but assign them different interpretants. For example, the symbol "Power" means one thing to a physicist (Work/Time) and another to a political scientist (Influence/Control). A robust symbolic model must capture these distinct interpretants within a unified structure.</w:t>
      </w:r>
      <w:r w:rsidDel="00000000" w:rsidR="00000000" w:rsidRPr="00000000">
        <w:rPr>
          <w:rFonts w:ascii="Google Sans Text" w:cs="Google Sans Text" w:eastAsia="Google Sans Text" w:hAnsi="Google Sans Text"/>
          <w:sz w:val="24"/>
          <w:szCs w:val="24"/>
          <w:vertAlign w:val="superscript"/>
          <w:rtl w:val="0"/>
        </w:rPr>
        <w:t xml:space="preserve">9</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27">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2.1.1 Computational Semiotics and Agent Communication</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Modern "Computational Semiotics" operationalizes this triad in Multi-Agent Systems (MAS). Here, artificial agents must negotiate meaning without human intervention. Research demonstrates that agents can "emerge" communication protocols for purely aesthetic or collaborative purposes, essentially evolving their own semiotic systems.</w:t>
      </w:r>
      <w:r w:rsidDel="00000000" w:rsidR="00000000" w:rsidRPr="00000000">
        <w:rPr>
          <w:rFonts w:ascii="Google Sans Text" w:cs="Google Sans Text" w:eastAsia="Google Sans Text" w:hAnsi="Google Sans Text"/>
          <w:sz w:val="24"/>
          <w:szCs w:val="24"/>
          <w:vertAlign w:val="superscript"/>
          <w:rtl w:val="0"/>
        </w:rPr>
        <w:t xml:space="preserve">10</w:t>
      </w:r>
      <w:r w:rsidDel="00000000" w:rsidR="00000000" w:rsidRPr="00000000">
        <w:rPr>
          <w:rFonts w:ascii="Google Sans Text" w:cs="Google Sans Text" w:eastAsia="Google Sans Text" w:hAnsi="Google Sans Text"/>
          <w:rtl w:val="0"/>
        </w:rPr>
        <w:t xml:space="preserve"> This mirrors the GoodReason approach of describing concepts as a holarchy between science (theory) and technology (practice).</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 The symbolic notation serves as the bridge, a rigorous formalism that can be processed by a machine while remaining intelligible to human domain experts.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We see this applied in frameworks like "Systemic Semiotics," which draws on Systemic Functional Linguistics (SFL). SFL views language as a social semiotic resource, a perspective that has been integrated into information systems to model organizational contexts.</w:t>
      </w:r>
      <w:r w:rsidDel="00000000" w:rsidR="00000000" w:rsidRPr="00000000">
        <w:rPr>
          <w:rFonts w:ascii="Google Sans Text" w:cs="Google Sans Text" w:eastAsia="Google Sans Text" w:hAnsi="Google Sans Text"/>
          <w:sz w:val="24"/>
          <w:szCs w:val="24"/>
          <w:vertAlign w:val="superscript"/>
          <w:rtl w:val="0"/>
        </w:rPr>
        <w:t xml:space="preserve">11</w:t>
      </w:r>
      <w:r w:rsidDel="00000000" w:rsidR="00000000" w:rsidRPr="00000000">
        <w:rPr>
          <w:rFonts w:ascii="Google Sans Text" w:cs="Google Sans Text" w:eastAsia="Google Sans Text" w:hAnsi="Google Sans Text"/>
          <w:rtl w:val="0"/>
        </w:rPr>
        <w:t xml:space="preserve"> By treating the information system as a semiotic engine, these models allow for a richer representation of "work activity" and social relationships than traditional data flow diagrams.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2.2 General Systems Theory and Holarchies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second theoretical pillar is General Systems Theory (GST). GST argues that complex systems share common organizing principles regardless of their material substrate.</w:t>
      </w:r>
      <w:r w:rsidDel="00000000" w:rsidR="00000000" w:rsidRPr="00000000">
        <w:rPr>
          <w:rFonts w:ascii="Google Sans Text" w:cs="Google Sans Text" w:eastAsia="Google Sans Text" w:hAnsi="Google Sans Text"/>
          <w:sz w:val="24"/>
          <w:szCs w:val="24"/>
          <w:vertAlign w:val="superscript"/>
          <w:rtl w:val="0"/>
        </w:rPr>
        <w:t xml:space="preserve">13</w:t>
      </w:r>
      <w:r w:rsidDel="00000000" w:rsidR="00000000" w:rsidRPr="00000000">
        <w:rPr>
          <w:rFonts w:ascii="Google Sans Text" w:cs="Google Sans Text" w:eastAsia="Google Sans Text" w:hAnsi="Google Sans Text"/>
          <w:rtl w:val="0"/>
        </w:rPr>
        <w:t xml:space="preserve"> This is the "GoodReason" for attending to conversions between metric units and other systems: they model elementary number system properties that are universal.</w:t>
      </w:r>
      <w:r w:rsidDel="00000000" w:rsidR="00000000" w:rsidRPr="00000000">
        <w:rPr>
          <w:rFonts w:ascii="Google Sans Text" w:cs="Google Sans Text" w:eastAsia="Google Sans Text" w:hAnsi="Google Sans Text"/>
          <w:sz w:val="24"/>
          <w:szCs w:val="24"/>
          <w:vertAlign w:val="superscript"/>
          <w:rtl w:val="0"/>
        </w:rPr>
        <w:t xml:space="preserve">2</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key concept here is the </w:t>
      </w:r>
      <w:r w:rsidDel="00000000" w:rsidR="00000000" w:rsidRPr="00000000">
        <w:rPr>
          <w:rFonts w:ascii="Google Sans Text" w:cs="Google Sans Text" w:eastAsia="Google Sans Text" w:hAnsi="Google Sans Text"/>
          <w:i w:val="1"/>
          <w:iCs w:val="1"/>
          <w:rtl w:val="0"/>
        </w:rPr>
        <w:t xml:space="preserve">holarchy</w:t>
      </w:r>
      <w:r w:rsidDel="00000000" w:rsidR="00000000" w:rsidRPr="00000000">
        <w:rPr>
          <w:rFonts w:ascii="Google Sans Text" w:cs="Google Sans Text" w:eastAsia="Google Sans Text" w:hAnsi="Google Sans Text"/>
          <w:rtl w:val="0"/>
        </w:rPr>
        <w:t xml:space="preserve">, where entities are simultaneously parts of a larger whole and wholes in themselves. GoodReason explicitly uses this to structure knowledge.</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 Analogous models, such as Object-Process Methodology (OPM), utilize this principle through "Zooming" mechanisms. A "Car" object is a whole at one level of abstraction, but zooming in reveals it as a system of "Engine," "Chassis," and "Transmission" parts. This ability to traverse the holarchy while maintaining semantic consistency is a defining feature of the models analyzed in this report.</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1">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 Category Theoretic Models: The Mathematical Meta-Language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most structurally similar models to GoodReason—in terms of aiming for a universal, rigorous symbolic logic—are found in the application of </w:t>
      </w:r>
      <w:r w:rsidDel="00000000" w:rsidR="00000000" w:rsidRPr="00000000">
        <w:rPr>
          <w:rFonts w:ascii="Google Sans Text" w:cs="Google Sans Text" w:eastAsia="Google Sans Text" w:hAnsi="Google Sans Text"/>
          <w:b w:val="1"/>
          <w:bCs w:val="1"/>
          <w:rtl w:val="0"/>
        </w:rPr>
        <w:t xml:space="preserve">Category Theory (CT)</w:t>
      </w:r>
      <w:r w:rsidDel="00000000" w:rsidR="00000000" w:rsidRPr="00000000">
        <w:rPr>
          <w:rFonts w:ascii="Google Sans Text" w:cs="Google Sans Text" w:eastAsia="Google Sans Text" w:hAnsi="Google Sans Text"/>
          <w:rtl w:val="0"/>
        </w:rPr>
        <w:t xml:space="preserve"> to systems science and data integration. CT is often described as the "mathematics of mathematics," providing a high-level language to describe structures in any field, making it inherently multidisciplinary.</w:t>
      </w:r>
      <w:r w:rsidDel="00000000" w:rsidR="00000000" w:rsidRPr="00000000">
        <w:rPr>
          <w:rFonts w:ascii="Google Sans Text" w:cs="Google Sans Text" w:eastAsia="Google Sans Text" w:hAnsi="Google Sans Text"/>
          <w:sz w:val="24"/>
          <w:szCs w:val="24"/>
          <w:vertAlign w:val="superscript"/>
          <w:rtl w:val="0"/>
        </w:rPr>
        <w:t xml:space="preserve">14</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3.1 Ontology Logs (Ologs): Rigorous Knowledge Representation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8">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3.1.1 Concept and Symbolic Notation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Ontology Logs, or </w:t>
      </w:r>
      <w:r w:rsidDel="00000000" w:rsidR="00000000" w:rsidRPr="00000000">
        <w:rPr>
          <w:rFonts w:ascii="Google Sans Text" w:cs="Google Sans Text" w:eastAsia="Google Sans Text" w:hAnsi="Google Sans Text"/>
          <w:b w:val="1"/>
          <w:bCs w:val="1"/>
          <w:rtl w:val="0"/>
        </w:rPr>
        <w:t xml:space="preserve">Ologs</w:t>
      </w:r>
      <w:r w:rsidDel="00000000" w:rsidR="00000000" w:rsidRPr="00000000">
        <w:rPr>
          <w:rFonts w:ascii="Google Sans Text" w:cs="Google Sans Text" w:eastAsia="Google Sans Text" w:hAnsi="Google Sans Text"/>
          <w:rtl w:val="0"/>
        </w:rPr>
        <w:t xml:space="preserve">, were introduced by David Spivak and Robert Kent to provide a "categorical framework for knowledge representation".</w:t>
      </w:r>
      <w:r w:rsidDel="00000000" w:rsidR="00000000" w:rsidRPr="00000000">
        <w:rPr>
          <w:rFonts w:ascii="Google Sans Text" w:cs="Google Sans Text" w:eastAsia="Google Sans Text" w:hAnsi="Google Sans Text"/>
          <w:sz w:val="24"/>
          <w:szCs w:val="24"/>
          <w:vertAlign w:val="superscript"/>
          <w:rtl w:val="0"/>
        </w:rPr>
        <w:t xml:space="preserve">15</w:t>
      </w:r>
      <w:r w:rsidDel="00000000" w:rsidR="00000000" w:rsidRPr="00000000">
        <w:rPr>
          <w:rFonts w:ascii="Google Sans Text" w:cs="Google Sans Text" w:eastAsia="Google Sans Text" w:hAnsi="Google Sans Text"/>
          <w:rtl w:val="0"/>
        </w:rPr>
        <w:t xml:space="preserve"> An Olog is a category where:</w:t>
      </w:r>
    </w:p>
    <w:p w:rsidR="00000000" w:rsidDel="00000000" w:rsidP="00000000" w:rsidRDefault="00000000" w:rsidRPr="00000000" w14:paraId="0000003B">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Objects (Symbols):</w:t>
      </w:r>
      <w:r w:rsidDel="00000000" w:rsidR="00000000" w:rsidRPr="00000000">
        <w:rPr>
          <w:rFonts w:ascii="Google Sans Text" w:cs="Google Sans Text" w:eastAsia="Google Sans Text" w:hAnsi="Google Sans Text"/>
          <w:rtl w:val="0"/>
        </w:rPr>
        <w:t xml:space="preserve"> Boxes labeled with singular noun phrases (e.g., "an amino acid", "a person"). These represent </w:t>
      </w:r>
      <w:r w:rsidDel="00000000" w:rsidR="00000000" w:rsidRPr="00000000">
        <w:rPr>
          <w:rFonts w:ascii="Google Sans Text" w:cs="Google Sans Text" w:eastAsia="Google Sans Text" w:hAnsi="Google Sans Text"/>
          <w:i w:val="1"/>
          <w:iCs w:val="1"/>
          <w:rtl w:val="0"/>
        </w:rPr>
        <w:t xml:space="preserve">types</w:t>
      </w:r>
      <w:r w:rsidDel="00000000" w:rsidR="00000000" w:rsidRPr="00000000">
        <w:rPr>
          <w:rFonts w:ascii="Google Sans Text" w:cs="Google Sans Text" w:eastAsia="Google Sans Text" w:hAnsi="Google Sans Text"/>
          <w:rtl w:val="0"/>
        </w:rPr>
        <w:t xml:space="preserve"> of things.</w:t>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Morphisms (Relationships):</w:t>
      </w:r>
      <w:r w:rsidDel="00000000" w:rsidR="00000000" w:rsidRPr="00000000">
        <w:rPr>
          <w:rFonts w:ascii="Google Sans Text" w:cs="Google Sans Text" w:eastAsia="Google Sans Text" w:hAnsi="Google Sans Text"/>
          <w:rtl w:val="0"/>
        </w:rPr>
        <w:t xml:space="preserve"> Arrows connecting boxes labeled with verb phrases (e.g., "has a side chain", "works for"). These represent functional relationships.</w:t>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Commutative Diagrams:</w:t>
      </w:r>
      <w:r w:rsidDel="00000000" w:rsidR="00000000" w:rsidRPr="00000000">
        <w:rPr>
          <w:rFonts w:ascii="Google Sans Text" w:cs="Google Sans Text" w:eastAsia="Google Sans Text" w:hAnsi="Google Sans Text"/>
          <w:rtl w:val="0"/>
        </w:rPr>
        <w:t xml:space="preserve"> A crucial feature where different paths through the graph that start and end at the same points are declared equivalent. This enforces logical constraints. For example, Path A (Employee -&gt; works in -&gt; Department -&gt; located in -&gt; Building) might be equated to Path B (Employee -&gt; reports to -&gt; Building Manager -&gt; manages -&gt; Building). Declaring these paths equivalent (the diagram "commutes") enforces a business rule: an employee must work in the building their manager manages.</w:t>
      </w:r>
      <w:r w:rsidDel="00000000" w:rsidR="00000000" w:rsidRPr="00000000">
        <w:rPr>
          <w:rFonts w:ascii="Google Sans Text" w:cs="Google Sans Text" w:eastAsia="Google Sans Text" w:hAnsi="Google Sans Text"/>
          <w:sz w:val="24"/>
          <w:szCs w:val="24"/>
          <w:vertAlign w:val="superscript"/>
          <w:rtl w:val="0"/>
        </w:rPr>
        <w:t xml:space="preserve">16</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This notation is not merely illustrative. It is a formal mathematical specification. An Olog serves as a database schema, where boxes are tables and arrows are columns (foreign keys). This aligns with the "GoodReason" goal of bridging theory (the conceptual model) and practice (the database implementation).</w:t>
      </w:r>
      <w:r w:rsidDel="00000000" w:rsidR="00000000" w:rsidRPr="00000000">
        <w:rPr>
          <w:rFonts w:ascii="Google Sans Text" w:cs="Google Sans Text" w:eastAsia="Google Sans Text" w:hAnsi="Google Sans Text"/>
          <w:sz w:val="24"/>
          <w:szCs w:val="24"/>
          <w:vertAlign w:val="superscript"/>
          <w:rtl w:val="0"/>
        </w:rPr>
        <w:t xml:space="preserve">15</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40">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3.1.2 Multidisciplinary Application: Functorial Analogies</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primary power of Ologs in a multidisciplinary context is the use of </w:t>
      </w:r>
      <w:r w:rsidDel="00000000" w:rsidR="00000000" w:rsidRPr="00000000">
        <w:rPr>
          <w:rFonts w:ascii="Google Sans Text" w:cs="Google Sans Text" w:eastAsia="Google Sans Text" w:hAnsi="Google Sans Text"/>
          <w:b w:val="1"/>
          <w:bCs w:val="1"/>
          <w:rtl w:val="0"/>
        </w:rPr>
        <w:t xml:space="preserve">functors</w:t>
      </w:r>
      <w:r w:rsidDel="00000000" w:rsidR="00000000" w:rsidRPr="00000000">
        <w:rPr>
          <w:rFonts w:ascii="Google Sans Text" w:cs="Google Sans Text" w:eastAsia="Google Sans Text" w:hAnsi="Google Sans Text"/>
          <w:rtl w:val="0"/>
        </w:rPr>
        <w:t xml:space="preserve">. A functor is a mapping between two categories that preserves structure. This allows researchers to mathematically define analogies between disparate fields.</w:t>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Case Study: Materials Science and Music:</w:t>
      </w:r>
      <w:r w:rsidDel="00000000" w:rsidR="00000000" w:rsidRPr="00000000">
        <w:rPr>
          <w:rFonts w:ascii="Google Sans Text" w:cs="Google Sans Text" w:eastAsia="Google Sans Text" w:hAnsi="Google Sans Text"/>
          <w:rtl w:val="0"/>
        </w:rPr>
        <w:t xml:space="preserve"> Research has demonstrated using Ologs to map the structure of </w:t>
      </w:r>
      <w:r w:rsidDel="00000000" w:rsidR="00000000" w:rsidRPr="00000000">
        <w:rPr>
          <w:rFonts w:ascii="Google Sans Text" w:cs="Google Sans Text" w:eastAsia="Google Sans Text" w:hAnsi="Google Sans Text"/>
          <w:b w:val="1"/>
          <w:bCs w:val="1"/>
          <w:rtl w:val="0"/>
        </w:rPr>
        <w:t xml:space="preserve">protein materials</w:t>
      </w:r>
      <w:r w:rsidDel="00000000" w:rsidR="00000000" w:rsidRPr="00000000">
        <w:rPr>
          <w:rFonts w:ascii="Google Sans Text" w:cs="Google Sans Text" w:eastAsia="Google Sans Text" w:hAnsi="Google Sans Text"/>
          <w:rtl w:val="0"/>
        </w:rPr>
        <w:t xml:space="preserve"> (biology/materials science) to </w:t>
      </w:r>
      <w:r w:rsidDel="00000000" w:rsidR="00000000" w:rsidRPr="00000000">
        <w:rPr>
          <w:rFonts w:ascii="Google Sans Text" w:cs="Google Sans Text" w:eastAsia="Google Sans Text" w:hAnsi="Google Sans Text"/>
          <w:b w:val="1"/>
          <w:bCs w:val="1"/>
          <w:rtl w:val="0"/>
        </w:rPr>
        <w:t xml:space="preserve">music theory</w:t>
      </w:r>
      <w:r w:rsidDel="00000000" w:rsidR="00000000" w:rsidRPr="00000000">
        <w:rPr>
          <w:rFonts w:ascii="Google Sans Text" w:cs="Google Sans Text" w:eastAsia="Google Sans Text" w:hAnsi="Google Sans Text"/>
          <w:rtl w:val="0"/>
        </w:rPr>
        <w:t xml:space="preserve"> (arts).</w:t>
      </w:r>
      <w:r w:rsidDel="00000000" w:rsidR="00000000" w:rsidRPr="00000000">
        <w:rPr>
          <w:rFonts w:ascii="Google Sans Text" w:cs="Google Sans Text" w:eastAsia="Google Sans Text" w:hAnsi="Google Sans Text"/>
          <w:sz w:val="24"/>
          <w:szCs w:val="24"/>
          <w:vertAlign w:val="superscript"/>
          <w:rtl w:val="0"/>
        </w:rPr>
        <w:t xml:space="preserve">17</w:t>
      </w:r>
      <w:r w:rsidDel="00000000" w:rsidR="00000000" w:rsidRPr="00000000">
        <w:rPr>
          <w:rFonts w:ascii="Google Sans Text" w:cs="Google Sans Text" w:eastAsia="Google Sans Text" w:hAnsi="Google Sans Text"/>
          <w:rtl w:val="0"/>
        </w:rPr>
        <w:t xml:space="preserve"> By defining the category of proteins and the category of musical compositions, a functor can translate concepts from one domain to the other, revealing structural similarities that are not apparent in natural language. This "functorial connection" allows data and insights to flow between disciplines without semantic degradation.</w:t>
      </w:r>
    </w:p>
    <w:p w:rsidR="00000000" w:rsidDel="00000000" w:rsidP="00000000" w:rsidRDefault="00000000" w:rsidRPr="00000000" w14:paraId="00000044">
      <w:pPr>
        <w:numPr>
          <w:ilvl w:val="0"/>
          <w:numId w:val="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Systemic Integration:</w:t>
      </w:r>
      <w:r w:rsidDel="00000000" w:rsidR="00000000" w:rsidRPr="00000000">
        <w:rPr>
          <w:rFonts w:ascii="Google Sans Text" w:cs="Google Sans Text" w:eastAsia="Google Sans Text" w:hAnsi="Google Sans Text"/>
          <w:rtl w:val="0"/>
        </w:rPr>
        <w:t xml:space="preserve"> Ologs allow for the "federation" of knowledge. Different scientific models can be built as separate Ologs and then connected via functors to form a larger "system of systems" model, effectively creating a distributed knowledge graph with mathematical guarantees of consistency.</w:t>
      </w:r>
      <w:r w:rsidDel="00000000" w:rsidR="00000000" w:rsidRPr="00000000">
        <w:rPr>
          <w:rFonts w:ascii="Google Sans Text" w:cs="Google Sans Text" w:eastAsia="Google Sans Text" w:hAnsi="Google Sans Text"/>
          <w:sz w:val="24"/>
          <w:szCs w:val="24"/>
          <w:vertAlign w:val="superscript"/>
          <w:rtl w:val="0"/>
        </w:rPr>
        <w:t xml:space="preserve">15</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3.2 Conexus AI and the Categorical Query Language (CQL)</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Ologs have transitioned from academic theory to active industrial use through </w:t>
      </w:r>
      <w:r w:rsidDel="00000000" w:rsidR="00000000" w:rsidRPr="00000000">
        <w:rPr>
          <w:rFonts w:ascii="Google Sans Text" w:cs="Google Sans Text" w:eastAsia="Google Sans Text" w:hAnsi="Google Sans Text"/>
          <w:b w:val="1"/>
          <w:bCs w:val="1"/>
          <w:rtl w:val="0"/>
        </w:rPr>
        <w:t xml:space="preserve">Conexus AI</w:t>
      </w:r>
      <w:r w:rsidDel="00000000" w:rsidR="00000000" w:rsidRPr="00000000">
        <w:rPr>
          <w:rFonts w:ascii="Google Sans Text" w:cs="Google Sans Text" w:eastAsia="Google Sans Text" w:hAnsi="Google Sans Text"/>
          <w:rtl w:val="0"/>
        </w:rPr>
        <w:t xml:space="preserve">, a company founded by Spivak and others. Their primary tool, </w:t>
      </w:r>
      <w:r w:rsidDel="00000000" w:rsidR="00000000" w:rsidRPr="00000000">
        <w:rPr>
          <w:rFonts w:ascii="Google Sans Text" w:cs="Google Sans Text" w:eastAsia="Google Sans Text" w:hAnsi="Google Sans Text"/>
          <w:b w:val="1"/>
          <w:bCs w:val="1"/>
          <w:rtl w:val="0"/>
        </w:rPr>
        <w:t xml:space="preserve">Categorical Query Language (CQL)</w:t>
      </w:r>
      <w:r w:rsidDel="00000000" w:rsidR="00000000" w:rsidRPr="00000000">
        <w:rPr>
          <w:rFonts w:ascii="Google Sans Text" w:cs="Google Sans Text" w:eastAsia="Google Sans Text" w:hAnsi="Google Sans Text"/>
          <w:rtl w:val="0"/>
        </w:rPr>
        <w:t xml:space="preserve">, implements the mathematics of Ologs for data integration.</w:t>
      </w:r>
      <w:r w:rsidDel="00000000" w:rsidR="00000000" w:rsidRPr="00000000">
        <w:rPr>
          <w:rFonts w:ascii="Google Sans Text" w:cs="Google Sans Text" w:eastAsia="Google Sans Text" w:hAnsi="Google Sans Text"/>
          <w:sz w:val="24"/>
          <w:szCs w:val="24"/>
          <w:vertAlign w:val="superscript"/>
          <w:rtl w:val="0"/>
        </w:rPr>
        <w:t xml:space="preserve">5</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4A">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3.2.1 Resolving the Data Integration Crisis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large enterprises and government agencies, data is often siloed in incompatible formats (SQL, CSV, JSON). Traditional integration (ETL) is brittle and error-prone. CQL solves this by treating every data source as an Olog (a category) and every data migration as a functor.</w:t>
      </w:r>
    </w:p>
    <w:p w:rsidR="00000000" w:rsidDel="00000000" w:rsidP="00000000" w:rsidRDefault="00000000" w:rsidRPr="00000000" w14:paraId="0000004D">
      <w:pPr>
        <w:numPr>
          <w:ilvl w:val="0"/>
          <w:numId w:val="10"/>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Mechanism:</w:t>
      </w:r>
      <w:r w:rsidDel="00000000" w:rsidR="00000000" w:rsidRPr="00000000">
        <w:rPr>
          <w:rFonts w:ascii="Google Sans Text" w:cs="Google Sans Text" w:eastAsia="Google Sans Text" w:hAnsi="Google Sans Text"/>
          <w:rtl w:val="0"/>
        </w:rPr>
        <w:t xml:space="preserve"> The user writes a schema in CQL (which looks like a set of equations defining the Olog). The software then automatically generates the SQL code to migrate data.</w:t>
      </w:r>
    </w:p>
    <w:p w:rsidR="00000000" w:rsidDel="00000000" w:rsidP="00000000" w:rsidRDefault="00000000" w:rsidRPr="00000000" w14:paraId="0000004E">
      <w:pPr>
        <w:numPr>
          <w:ilvl w:val="0"/>
          <w:numId w:val="10"/>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Automated Reasoning:</w:t>
      </w:r>
      <w:r w:rsidDel="00000000" w:rsidR="00000000" w:rsidRPr="00000000">
        <w:rPr>
          <w:rFonts w:ascii="Google Sans Text" w:cs="Google Sans Text" w:eastAsia="Google Sans Text" w:hAnsi="Google Sans Text"/>
          <w:rtl w:val="0"/>
        </w:rPr>
        <w:t xml:space="preserve"> Crucially, CQL contains an </w:t>
      </w:r>
      <w:r w:rsidDel="00000000" w:rsidR="00000000" w:rsidRPr="00000000">
        <w:rPr>
          <w:rFonts w:ascii="Google Sans Text" w:cs="Google Sans Text" w:eastAsia="Google Sans Text" w:hAnsi="Google Sans Text"/>
          <w:b w:val="1"/>
          <w:bCs w:val="1"/>
          <w:rtl w:val="0"/>
        </w:rPr>
        <w:t xml:space="preserve">automated theorem prover</w:t>
      </w:r>
      <w:r w:rsidDel="00000000" w:rsidR="00000000" w:rsidRPr="00000000">
        <w:rPr>
          <w:rFonts w:ascii="Google Sans Text" w:cs="Google Sans Text" w:eastAsia="Google Sans Text" w:hAnsi="Google Sans Text"/>
          <w:rtl w:val="0"/>
        </w:rPr>
        <w:t xml:space="preserve">. Because the symbolic notation relies on category theory, the software can mathematically prove that a data migration will </w:t>
      </w:r>
      <w:r w:rsidDel="00000000" w:rsidR="00000000" w:rsidRPr="00000000">
        <w:rPr>
          <w:rFonts w:ascii="Google Sans Text" w:cs="Google Sans Text" w:eastAsia="Google Sans Text" w:hAnsi="Google Sans Text"/>
          <w:i w:val="1"/>
          <w:iCs w:val="1"/>
          <w:rtl w:val="0"/>
        </w:rPr>
        <w:t xml:space="preserve">not</w:t>
      </w:r>
      <w:r w:rsidDel="00000000" w:rsidR="00000000" w:rsidRPr="00000000">
        <w:rPr>
          <w:rFonts w:ascii="Google Sans Text" w:cs="Google Sans Text" w:eastAsia="Google Sans Text" w:hAnsi="Google Sans Text"/>
          <w:rtl w:val="0"/>
        </w:rPr>
        <w:t xml:space="preserve"> violate integrity constraints </w:t>
      </w:r>
      <w:r w:rsidDel="00000000" w:rsidR="00000000" w:rsidRPr="00000000">
        <w:rPr>
          <w:rFonts w:ascii="Google Sans Text" w:cs="Google Sans Text" w:eastAsia="Google Sans Text" w:hAnsi="Google Sans Text"/>
          <w:i w:val="1"/>
          <w:iCs w:val="1"/>
          <w:rtl w:val="0"/>
        </w:rPr>
        <w:t xml:space="preserve">before</w:t>
      </w:r>
      <w:r w:rsidDel="00000000" w:rsidR="00000000" w:rsidRPr="00000000">
        <w:rPr>
          <w:rFonts w:ascii="Google Sans Text" w:cs="Google Sans Text" w:eastAsia="Google Sans Text" w:hAnsi="Google Sans Text"/>
          <w:rtl w:val="0"/>
        </w:rPr>
        <w:t xml:space="preserve"> the data is moved.</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 This "Correct-by-Construction" guarantee is a massive leap forward for data reliability in fields like supply chain management.</w:t>
      </w:r>
      <w:r w:rsidDel="00000000" w:rsidR="00000000" w:rsidRPr="00000000">
        <w:rPr>
          <w:rFonts w:ascii="Google Sans Text" w:cs="Google Sans Text" w:eastAsia="Google Sans Text" w:hAnsi="Google Sans Text"/>
          <w:sz w:val="24"/>
          <w:szCs w:val="24"/>
          <w:vertAlign w:val="superscript"/>
          <w:rtl w:val="0"/>
        </w:rPr>
        <w:t xml:space="preserve">18</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3.3 The "Dragon" Ecosystem: Algebraic Property Graphs at Uber</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direct evolution of the Olog concept in a hyper-scale industrial environment is the </w:t>
      </w:r>
      <w:r w:rsidDel="00000000" w:rsidR="00000000" w:rsidRPr="00000000">
        <w:rPr>
          <w:rFonts w:ascii="Google Sans Text" w:cs="Google Sans Text" w:eastAsia="Google Sans Text" w:hAnsi="Google Sans Text"/>
          <w:b w:val="1"/>
          <w:bCs w:val="1"/>
          <w:rtl w:val="0"/>
        </w:rPr>
        <w:t xml:space="preserve">Algebraic Property Graph (APG)</w:t>
      </w:r>
      <w:r w:rsidDel="00000000" w:rsidR="00000000" w:rsidRPr="00000000">
        <w:rPr>
          <w:rFonts w:ascii="Google Sans Text" w:cs="Google Sans Text" w:eastAsia="Google Sans Text" w:hAnsi="Google Sans Text"/>
          <w:rtl w:val="0"/>
        </w:rPr>
        <w:t xml:space="preserve">, originally developed at Uber under the project name </w:t>
      </w:r>
      <w:r w:rsidDel="00000000" w:rsidR="00000000" w:rsidRPr="00000000">
        <w:rPr>
          <w:rFonts w:ascii="Google Sans Text" w:cs="Google Sans Text" w:eastAsia="Google Sans Text" w:hAnsi="Google Sans Text"/>
          <w:b w:val="1"/>
          <w:bCs w:val="1"/>
          <w:rtl w:val="0"/>
        </w:rPr>
        <w:t xml:space="preserve">Dragon</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4">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3.3.1 The Problem: Multidisciplinary Data Chaos</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Uber operates at the intersection of multiple disciplines: geospatial logistics, financial transaction processing, driver capability modeling, and consumer behavior analysis. Each domain produced data in different formats (graphs, relational tables, streams). The lack of a unified symbolic framework led to massive integration costs and data quality issues. The "Tower of Babel" was a literal impediment to business operations.</w:t>
      </w:r>
      <w:r w:rsidDel="00000000" w:rsidR="00000000" w:rsidRPr="00000000">
        <w:rPr>
          <w:rFonts w:ascii="Google Sans Text" w:cs="Google Sans Text" w:eastAsia="Google Sans Text" w:hAnsi="Google Sans Text"/>
          <w:sz w:val="24"/>
          <w:szCs w:val="24"/>
          <w:vertAlign w:val="superscript"/>
          <w:rtl w:val="0"/>
        </w:rPr>
        <w:t xml:space="preserve">19</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58">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3.3.2 The Solution: Algebraic Schema Integration</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Uber developed Dragon (and later open-sourced concepts via </w:t>
      </w:r>
      <w:r w:rsidDel="00000000" w:rsidR="00000000" w:rsidRPr="00000000">
        <w:rPr>
          <w:rFonts w:ascii="Google Sans Text" w:cs="Google Sans Text" w:eastAsia="Google Sans Text" w:hAnsi="Google Sans Text"/>
          <w:b w:val="1"/>
          <w:bCs w:val="1"/>
          <w:rtl w:val="0"/>
        </w:rPr>
        <w:t xml:space="preserve">Hydra</w:t>
      </w:r>
      <w:r w:rsidDel="00000000" w:rsidR="00000000" w:rsidRPr="00000000">
        <w:rPr>
          <w:rFonts w:ascii="Google Sans Text" w:cs="Google Sans Text" w:eastAsia="Google Sans Text" w:hAnsi="Google Sans Text"/>
          <w:rtl w:val="0"/>
        </w:rPr>
        <w:t xml:space="preserve">) based on APGs.</w:t>
      </w:r>
    </w:p>
    <w:p w:rsidR="00000000" w:rsidDel="00000000" w:rsidP="00000000" w:rsidRDefault="00000000" w:rsidRPr="00000000" w14:paraId="0000005B">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Symbolic Notation:</w:t>
      </w:r>
      <w:r w:rsidDel="00000000" w:rsidR="00000000" w:rsidRPr="00000000">
        <w:rPr>
          <w:rFonts w:ascii="Google Sans Text" w:cs="Google Sans Text" w:eastAsia="Google Sans Text" w:hAnsi="Google Sans Text"/>
          <w:rtl w:val="0"/>
        </w:rPr>
        <w:t xml:space="preserve"> APGs define schemas using </w:t>
      </w:r>
      <w:r w:rsidDel="00000000" w:rsidR="00000000" w:rsidRPr="00000000">
        <w:rPr>
          <w:rFonts w:ascii="Google Sans Text" w:cs="Google Sans Text" w:eastAsia="Google Sans Text" w:hAnsi="Google Sans Text"/>
          <w:b w:val="1"/>
          <w:bCs w:val="1"/>
          <w:rtl w:val="0"/>
        </w:rPr>
        <w:t xml:space="preserve">algebraic data types</w:t>
      </w:r>
      <w:r w:rsidDel="00000000" w:rsidR="00000000" w:rsidRPr="00000000">
        <w:rPr>
          <w:rFonts w:ascii="Google Sans Text" w:cs="Google Sans Text" w:eastAsia="Google Sans Text" w:hAnsi="Google Sans Text"/>
          <w:rtl w:val="0"/>
        </w:rPr>
        <w:t xml:space="preserve">. This provides a rigorous syntax for defining "property graphs" (nodes and edges with key-value pairs) that can be mapped to any physical storage backend.</w:t>
      </w:r>
      <w:r w:rsidDel="00000000" w:rsidR="00000000" w:rsidRPr="00000000">
        <w:rPr>
          <w:rFonts w:ascii="Google Sans Text" w:cs="Google Sans Text" w:eastAsia="Google Sans Text" w:hAnsi="Google Sans Text"/>
          <w:sz w:val="24"/>
          <w:szCs w:val="24"/>
          <w:vertAlign w:val="superscript"/>
          <w:rtl w:val="0"/>
        </w:rPr>
        <w:t xml:space="preserve">19</w:t>
      </w:r>
    </w:p>
    <w:p w:rsidR="00000000" w:rsidDel="00000000" w:rsidP="00000000" w:rsidRDefault="00000000" w:rsidRPr="00000000" w14:paraId="0000005C">
      <w:pPr>
        <w:numPr>
          <w:ilvl w:val="0"/>
          <w:numId w:val="1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Category Theory Implementation:</w:t>
      </w:r>
      <w:r w:rsidDel="00000000" w:rsidR="00000000" w:rsidRPr="00000000">
        <w:rPr>
          <w:rFonts w:ascii="Google Sans Text" w:cs="Google Sans Text" w:eastAsia="Google Sans Text" w:hAnsi="Google Sans Text"/>
          <w:rtl w:val="0"/>
        </w:rPr>
        <w:t xml:space="preserve"> Similar to Ologs, APGs treat schemas as objects and data transformations as morphisms. This allows for </w:t>
      </w:r>
      <w:r w:rsidDel="00000000" w:rsidR="00000000" w:rsidRPr="00000000">
        <w:rPr>
          <w:rFonts w:ascii="Google Sans Text" w:cs="Google Sans Text" w:eastAsia="Google Sans Text" w:hAnsi="Google Sans Text"/>
          <w:b w:val="1"/>
          <w:bCs w:val="1"/>
          <w:rtl w:val="0"/>
        </w:rPr>
        <w:t xml:space="preserve">schema evolution</w:t>
      </w:r>
      <w:r w:rsidDel="00000000" w:rsidR="00000000" w:rsidRPr="00000000">
        <w:rPr>
          <w:rFonts w:ascii="Google Sans Text" w:cs="Google Sans Text" w:eastAsia="Google Sans Text" w:hAnsi="Google Sans Text"/>
          <w:rtl w:val="0"/>
        </w:rPr>
        <w:t xml:space="preserve">. When a business rule changes (e.g., "Drivers now have two ratings instead of one"), the algebraic definition allows the system to mathematically derive how the data must be transformed, ensuring the "interpretant" (meaning) of the data is preserved across the change.</w:t>
      </w:r>
      <w:r w:rsidDel="00000000" w:rsidR="00000000" w:rsidRPr="00000000">
        <w:rPr>
          <w:rFonts w:ascii="Google Sans Text" w:cs="Google Sans Text" w:eastAsia="Google Sans Text" w:hAnsi="Google Sans Text"/>
          <w:sz w:val="24"/>
          <w:szCs w:val="24"/>
          <w:vertAlign w:val="superscript"/>
          <w:rtl w:val="0"/>
        </w:rPr>
        <w:t xml:space="preserve">20</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5E">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3.3.3 From Dragon to Hydra: Open Source Evolution</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While Dragon was a proprietary internal tool at Uber, the intellectual property and architectural concepts have migrated into the open-source community through </w:t>
      </w:r>
      <w:r w:rsidDel="00000000" w:rsidR="00000000" w:rsidRPr="00000000">
        <w:rPr>
          <w:rFonts w:ascii="Google Sans Text" w:cs="Google Sans Text" w:eastAsia="Google Sans Text" w:hAnsi="Google Sans Text"/>
          <w:b w:val="1"/>
          <w:bCs w:val="1"/>
          <w:rtl w:val="0"/>
        </w:rPr>
        <w:t xml:space="preserve">Hydra</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61">
      <w:pPr>
        <w:numPr>
          <w:ilvl w:val="0"/>
          <w:numId w:val="1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Hydra:</w:t>
      </w:r>
      <w:r w:rsidDel="00000000" w:rsidR="00000000" w:rsidRPr="00000000">
        <w:rPr>
          <w:rFonts w:ascii="Google Sans Text" w:cs="Google Sans Text" w:eastAsia="Google Sans Text" w:hAnsi="Google Sans Text"/>
          <w:rtl w:val="0"/>
        </w:rPr>
        <w:t xml:space="preserve"> Created by the principal architects of Dragon who moved to other organizations (including Microsoft), Hydra is an open-source graph-based functional programming language.</w:t>
      </w:r>
      <w:r w:rsidDel="00000000" w:rsidR="00000000" w:rsidRPr="00000000">
        <w:rPr>
          <w:rFonts w:ascii="Google Sans Text" w:cs="Google Sans Text" w:eastAsia="Google Sans Text" w:hAnsi="Google Sans Text"/>
          <w:sz w:val="24"/>
          <w:szCs w:val="24"/>
          <w:vertAlign w:val="superscript"/>
          <w:rtl w:val="0"/>
        </w:rPr>
        <w:t xml:space="preserve">21</w:t>
      </w:r>
      <w:r w:rsidDel="00000000" w:rsidR="00000000" w:rsidRPr="00000000">
        <w:rPr>
          <w:rFonts w:ascii="Google Sans Text" w:cs="Google Sans Text" w:eastAsia="Google Sans Text" w:hAnsi="Google Sans Text"/>
          <w:rtl w:val="0"/>
        </w:rPr>
        <w:t xml:space="preserve"> It acts as a "universal translator" for data schemas.</w:t>
      </w:r>
    </w:p>
    <w:p w:rsidR="00000000" w:rsidDel="00000000" w:rsidP="00000000" w:rsidRDefault="00000000" w:rsidRPr="00000000" w14:paraId="00000062">
      <w:pPr>
        <w:numPr>
          <w:ilvl w:val="0"/>
          <w:numId w:val="1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Active Usage:</w:t>
      </w:r>
      <w:r w:rsidDel="00000000" w:rsidR="00000000" w:rsidRPr="00000000">
        <w:rPr>
          <w:rFonts w:ascii="Google Sans Text" w:cs="Google Sans Text" w:eastAsia="Google Sans Text" w:hAnsi="Google Sans Text"/>
          <w:rtl w:val="0"/>
        </w:rPr>
        <w:t xml:space="preserve"> Hydra is currently used internally at </w:t>
      </w:r>
      <w:r w:rsidDel="00000000" w:rsidR="00000000" w:rsidRPr="00000000">
        <w:rPr>
          <w:rFonts w:ascii="Google Sans Text" w:cs="Google Sans Text" w:eastAsia="Google Sans Text" w:hAnsi="Google Sans Text"/>
          <w:b w:val="1"/>
          <w:bCs w:val="1"/>
          <w:rtl w:val="0"/>
        </w:rPr>
        <w:t xml:space="preserve">Microsoft</w:t>
      </w:r>
      <w:r w:rsidDel="00000000" w:rsidR="00000000" w:rsidRPr="00000000">
        <w:rPr>
          <w:rFonts w:ascii="Google Sans Text" w:cs="Google Sans Text" w:eastAsia="Google Sans Text" w:hAnsi="Google Sans Text"/>
          <w:rtl w:val="0"/>
        </w:rPr>
        <w:t xml:space="preserve"> for data modeling and validation tasks. It explicitly handles the translation between different "languages" of data (e.g., SQL vs. GraphQL vs. Avro), effectively serving as the "systems language" that GoodReason envisions, mediating between different technical representations of reality.</w:t>
      </w:r>
      <w:r w:rsidDel="00000000" w:rsidR="00000000" w:rsidRPr="00000000">
        <w:rPr>
          <w:rFonts w:ascii="Google Sans Text" w:cs="Google Sans Text" w:eastAsia="Google Sans Text" w:hAnsi="Google Sans Text"/>
          <w:sz w:val="24"/>
          <w:szCs w:val="24"/>
          <w:vertAlign w:val="superscript"/>
          <w:rtl w:val="0"/>
        </w:rPr>
        <w:t xml:space="preserve">21</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64">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3.4 AlgebraicJulia: Scientific Modeling with Categories</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the scientific research domain, the </w:t>
      </w:r>
      <w:r w:rsidDel="00000000" w:rsidR="00000000" w:rsidRPr="00000000">
        <w:rPr>
          <w:rFonts w:ascii="Google Sans Text" w:cs="Google Sans Text" w:eastAsia="Google Sans Text" w:hAnsi="Google Sans Text"/>
          <w:b w:val="1"/>
          <w:bCs w:val="1"/>
          <w:rtl w:val="0"/>
        </w:rPr>
        <w:t xml:space="preserve">AlgebraicJulia</w:t>
      </w:r>
      <w:r w:rsidDel="00000000" w:rsidR="00000000" w:rsidRPr="00000000">
        <w:rPr>
          <w:rFonts w:ascii="Google Sans Text" w:cs="Google Sans Text" w:eastAsia="Google Sans Text" w:hAnsi="Google Sans Text"/>
          <w:rtl w:val="0"/>
        </w:rPr>
        <w:t xml:space="preserve"> project (specifically the Catlab.jl library) represents the forefront of using symbolic notation for multidisciplinary modeling in physics and epidemiology.</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68">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3.4.1 Wiring Diagrams as Symbolic Notation</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AlgebraicJulia uses </w:t>
      </w:r>
      <w:r w:rsidDel="00000000" w:rsidR="00000000" w:rsidRPr="00000000">
        <w:rPr>
          <w:rFonts w:ascii="Google Sans Text" w:cs="Google Sans Text" w:eastAsia="Google Sans Text" w:hAnsi="Google Sans Text"/>
          <w:b w:val="1"/>
          <w:bCs w:val="1"/>
          <w:rtl w:val="0"/>
        </w:rPr>
        <w:t xml:space="preserve">Wiring Diagrams</w:t>
      </w:r>
      <w:r w:rsidDel="00000000" w:rsidR="00000000" w:rsidRPr="00000000">
        <w:rPr>
          <w:rFonts w:ascii="Google Sans Text" w:cs="Google Sans Text" w:eastAsia="Google Sans Text" w:hAnsi="Google Sans Text"/>
          <w:rtl w:val="0"/>
        </w:rPr>
        <w:t xml:space="preserve"> (also known as string diagrams) as its primary symbolic interface. These diagrams represent processes as boxes and data flow as wires. Unlike standard flowcharts, these diagrams correspond strictly to monoidal categories, meaning they have precise mathematical semantics regarding parallel and sequential composition.</w:t>
      </w:r>
      <w:r w:rsidDel="00000000" w:rsidR="00000000" w:rsidRPr="00000000">
        <w:rPr>
          <w:rFonts w:ascii="Google Sans Text" w:cs="Google Sans Text" w:eastAsia="Google Sans Text" w:hAnsi="Google Sans Text"/>
          <w:sz w:val="24"/>
          <w:szCs w:val="24"/>
          <w:vertAlign w:val="superscript"/>
          <w:rtl w:val="0"/>
        </w:rPr>
        <w:t xml:space="preserve">23</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6C">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3.4.2 Multidisciplinary Applications: Multiphysics and Epidemiology</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framework is designed to solve </w:t>
      </w:r>
      <w:r w:rsidDel="00000000" w:rsidR="00000000" w:rsidRPr="00000000">
        <w:rPr>
          <w:rFonts w:ascii="Google Sans Text" w:cs="Google Sans Text" w:eastAsia="Google Sans Text" w:hAnsi="Google Sans Text"/>
          <w:b w:val="1"/>
          <w:bCs w:val="1"/>
          <w:rtl w:val="0"/>
        </w:rPr>
        <w:t xml:space="preserve">multiphysics</w:t>
      </w:r>
      <w:r w:rsidDel="00000000" w:rsidR="00000000" w:rsidRPr="00000000">
        <w:rPr>
          <w:rFonts w:ascii="Google Sans Text" w:cs="Google Sans Text" w:eastAsia="Google Sans Text" w:hAnsi="Google Sans Text"/>
          <w:rtl w:val="0"/>
        </w:rPr>
        <w:t xml:space="preserve"> problems, where different domains of physics (e.g., thermal, electrical, kinetic) must be simulated simultaneously.</w:t>
      </w:r>
    </w:p>
    <w:p w:rsidR="00000000" w:rsidDel="00000000" w:rsidP="00000000" w:rsidRDefault="00000000" w:rsidRPr="00000000" w14:paraId="0000006F">
      <w:pPr>
        <w:numPr>
          <w:ilvl w:val="0"/>
          <w:numId w:val="1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Compositional Modeling:</w:t>
      </w:r>
      <w:r w:rsidDel="00000000" w:rsidR="00000000" w:rsidRPr="00000000">
        <w:rPr>
          <w:rFonts w:ascii="Google Sans Text" w:cs="Google Sans Text" w:eastAsia="Google Sans Text" w:hAnsi="Google Sans Text"/>
          <w:rtl w:val="0"/>
        </w:rPr>
        <w:t xml:space="preserve"> A researcher can define a "thermal model" and an "electrical model" separately using domain-specific languages (DSLs) built on top of Catlab.jl. Using the symbolic notation of wiring diagrams, they can compose these into a "thermo-electric model." The software uses the category-theoretic rules to generate the correct system of differential equations for the combined system.</w:t>
      </w:r>
      <w:r w:rsidDel="00000000" w:rsidR="00000000" w:rsidRPr="00000000">
        <w:rPr>
          <w:rFonts w:ascii="Google Sans Text" w:cs="Google Sans Text" w:eastAsia="Google Sans Text" w:hAnsi="Google Sans Text"/>
          <w:sz w:val="24"/>
          <w:szCs w:val="24"/>
          <w:vertAlign w:val="superscript"/>
          <w:rtl w:val="0"/>
        </w:rPr>
        <w:t xml:space="preserve">24</w:t>
      </w:r>
    </w:p>
    <w:p w:rsidR="00000000" w:rsidDel="00000000" w:rsidP="00000000" w:rsidRDefault="00000000" w:rsidRPr="00000000" w14:paraId="00000070">
      <w:pPr>
        <w:numPr>
          <w:ilvl w:val="0"/>
          <w:numId w:val="1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Decapodes:</w:t>
      </w:r>
      <w:r w:rsidDel="00000000" w:rsidR="00000000" w:rsidRPr="00000000">
        <w:rPr>
          <w:rFonts w:ascii="Google Sans Text" w:cs="Google Sans Text" w:eastAsia="Google Sans Text" w:hAnsi="Google Sans Text"/>
          <w:rtl w:val="0"/>
        </w:rPr>
        <w:t xml:space="preserve"> A specific tool within this ecosystem, </w:t>
      </w:r>
      <w:r w:rsidDel="00000000" w:rsidR="00000000" w:rsidRPr="00000000">
        <w:rPr>
          <w:rFonts w:ascii="Google Sans Text" w:cs="Google Sans Text" w:eastAsia="Google Sans Text" w:hAnsi="Google Sans Text"/>
          <w:b w:val="1"/>
          <w:bCs w:val="1"/>
          <w:rtl w:val="0"/>
        </w:rPr>
        <w:t xml:space="preserve">Decapodes.jl</w:t>
      </w:r>
      <w:r w:rsidDel="00000000" w:rsidR="00000000" w:rsidRPr="00000000">
        <w:rPr>
          <w:rFonts w:ascii="Google Sans Text" w:cs="Google Sans Text" w:eastAsia="Google Sans Text" w:hAnsi="Google Sans Text"/>
          <w:rtl w:val="0"/>
        </w:rPr>
        <w:t xml:space="preserve">, is used for solving multiphysics Partial Differential Equations (PDEs). It allows scientists to express the physics using high-level symbolic notation (Discrete Exterior Calculus), which the system then compiles into efficient simulation code.</w:t>
      </w:r>
      <w:r w:rsidDel="00000000" w:rsidR="00000000" w:rsidRPr="00000000">
        <w:rPr>
          <w:rFonts w:ascii="Google Sans Text" w:cs="Google Sans Text" w:eastAsia="Google Sans Text" w:hAnsi="Google Sans Text"/>
          <w:sz w:val="24"/>
          <w:szCs w:val="24"/>
          <w:vertAlign w:val="superscript"/>
          <w:rtl w:val="0"/>
        </w:rPr>
        <w:t xml:space="preserve">24</w:t>
      </w:r>
    </w:p>
    <w:p w:rsidR="00000000" w:rsidDel="00000000" w:rsidP="00000000" w:rsidRDefault="00000000" w:rsidRPr="00000000" w14:paraId="00000071">
      <w:pPr>
        <w:numPr>
          <w:ilvl w:val="0"/>
          <w:numId w:val="1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Stock-Flow Models:</w:t>
      </w:r>
      <w:r w:rsidDel="00000000" w:rsidR="00000000" w:rsidRPr="00000000">
        <w:rPr>
          <w:rFonts w:ascii="Google Sans Text" w:cs="Google Sans Text" w:eastAsia="Google Sans Text" w:hAnsi="Google Sans Text"/>
          <w:rtl w:val="0"/>
        </w:rPr>
        <w:t xml:space="preserve"> It has been applied to </w:t>
      </w:r>
      <w:r w:rsidDel="00000000" w:rsidR="00000000" w:rsidRPr="00000000">
        <w:rPr>
          <w:rFonts w:ascii="Google Sans Text" w:cs="Google Sans Text" w:eastAsia="Google Sans Text" w:hAnsi="Google Sans Text"/>
          <w:b w:val="1"/>
          <w:bCs w:val="1"/>
          <w:rtl w:val="0"/>
        </w:rPr>
        <w:t xml:space="preserve">epidemiology</w:t>
      </w:r>
      <w:r w:rsidDel="00000000" w:rsidR="00000000" w:rsidRPr="00000000">
        <w:rPr>
          <w:rFonts w:ascii="Google Sans Text" w:cs="Google Sans Text" w:eastAsia="Google Sans Text" w:hAnsi="Google Sans Text"/>
          <w:rtl w:val="0"/>
        </w:rPr>
        <w:t xml:space="preserve"> (e.g., COVID-19 modeling), allowing for the rapid comparison and composition of different disease models (SIR, SEIR).</w:t>
      </w:r>
      <w:r w:rsidDel="00000000" w:rsidR="00000000" w:rsidRPr="00000000">
        <w:rPr>
          <w:rFonts w:ascii="Google Sans Text" w:cs="Google Sans Text" w:eastAsia="Google Sans Text" w:hAnsi="Google Sans Text"/>
          <w:sz w:val="24"/>
          <w:szCs w:val="24"/>
          <w:vertAlign w:val="superscript"/>
          <w:rtl w:val="0"/>
        </w:rPr>
        <w:t xml:space="preserve">25</w:t>
      </w:r>
      <w:r w:rsidDel="00000000" w:rsidR="00000000" w:rsidRPr="00000000">
        <w:rPr>
          <w:rFonts w:ascii="Google Sans Text" w:cs="Google Sans Text" w:eastAsia="Google Sans Text" w:hAnsi="Google Sans Text"/>
          <w:rtl w:val="0"/>
        </w:rPr>
        <w:t xml:space="preserve"> This capability to quickly reconfigure the symbolic structure of a model to test different hypotheses is a direct realization of a "GoodReason" for modeling: providing agility and rigor in the face of complex systemic threats.</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73">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 Systems Engineering Frameworks: Object-Process Methodology (OPM)</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While Category Theory dominates the data-centric view, the field of </w:t>
      </w:r>
      <w:r w:rsidDel="00000000" w:rsidR="00000000" w:rsidRPr="00000000">
        <w:rPr>
          <w:rFonts w:ascii="Google Sans Text" w:cs="Google Sans Text" w:eastAsia="Google Sans Text" w:hAnsi="Google Sans Text"/>
          <w:b w:val="1"/>
          <w:bCs w:val="1"/>
          <w:rtl w:val="0"/>
        </w:rPr>
        <w:t xml:space="preserve">Systems Engineering</w:t>
      </w:r>
      <w:r w:rsidDel="00000000" w:rsidR="00000000" w:rsidRPr="00000000">
        <w:rPr>
          <w:rFonts w:ascii="Google Sans Text" w:cs="Google Sans Text" w:eastAsia="Google Sans Text" w:hAnsi="Google Sans Text"/>
          <w:rtl w:val="0"/>
        </w:rPr>
        <w:t xml:space="preserve"> relies on </w:t>
      </w:r>
      <w:r w:rsidDel="00000000" w:rsidR="00000000" w:rsidRPr="00000000">
        <w:rPr>
          <w:rFonts w:ascii="Google Sans Text" w:cs="Google Sans Text" w:eastAsia="Google Sans Text" w:hAnsi="Google Sans Text"/>
          <w:b w:val="1"/>
          <w:bCs w:val="1"/>
          <w:rtl w:val="0"/>
        </w:rPr>
        <w:t xml:space="preserve">Object-Process Methodology (OPM)</w:t>
      </w:r>
      <w:r w:rsidDel="00000000" w:rsidR="00000000" w:rsidRPr="00000000">
        <w:rPr>
          <w:rFonts w:ascii="Google Sans Text" w:cs="Google Sans Text" w:eastAsia="Google Sans Text" w:hAnsi="Google Sans Text"/>
          <w:rtl w:val="0"/>
        </w:rPr>
        <w:t xml:space="preserve"> as a primary multidisciplinary modeling language. OPM is perhaps the most mature analogue to GoodReason in terms of standardization and commercial tooling.</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7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4.1 The Universal Ontology: Objects and Processes</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OPM is built on the premise that the universe can be described using only two fundamental concepts:</w:t>
      </w:r>
    </w:p>
    <w:p w:rsidR="00000000" w:rsidDel="00000000" w:rsidP="00000000" w:rsidRDefault="00000000" w:rsidRPr="00000000" w14:paraId="0000007A">
      <w:pPr>
        <w:numPr>
          <w:ilvl w:val="0"/>
          <w:numId w:val="1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Objects:</w:t>
      </w:r>
      <w:r w:rsidDel="00000000" w:rsidR="00000000" w:rsidRPr="00000000">
        <w:rPr>
          <w:rFonts w:ascii="Google Sans Text" w:cs="Google Sans Text" w:eastAsia="Google Sans Text" w:hAnsi="Google Sans Text"/>
          <w:rtl w:val="0"/>
        </w:rPr>
        <w:t xml:space="preserve"> Things that exist (stateful entities).</w:t>
      </w:r>
    </w:p>
    <w:p w:rsidR="00000000" w:rsidDel="00000000" w:rsidP="00000000" w:rsidRDefault="00000000" w:rsidRPr="00000000" w14:paraId="0000007B">
      <w:pPr>
        <w:numPr>
          <w:ilvl w:val="0"/>
          <w:numId w:val="1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Processes:</w:t>
      </w:r>
      <w:r w:rsidDel="00000000" w:rsidR="00000000" w:rsidRPr="00000000">
        <w:rPr>
          <w:rFonts w:ascii="Google Sans Text" w:cs="Google Sans Text" w:eastAsia="Google Sans Text" w:hAnsi="Google Sans Text"/>
          <w:rtl w:val="0"/>
        </w:rPr>
        <w:t xml:space="preserve"> Things that happen (transformations that create, destroy, or change the state of objects).</w:t>
      </w:r>
      <w:r w:rsidDel="00000000" w:rsidR="00000000" w:rsidRPr="00000000">
        <w:rPr>
          <w:rFonts w:ascii="Google Sans Text" w:cs="Google Sans Text" w:eastAsia="Google Sans Text" w:hAnsi="Google Sans Text"/>
          <w:sz w:val="24"/>
          <w:szCs w:val="24"/>
          <w:vertAlign w:val="superscript"/>
          <w:rtl w:val="0"/>
        </w:rPr>
        <w:t xml:space="preserve">26</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This "minimal universal ontology" allows OPM to be truly multidisciplinary. It is used to model software, hardware, biological systems, and organizational protocols within the same diagram. This universality mirrors the GoodReason ambition to model "elementary number system properties" alongside physical containers.</w:t>
      </w:r>
      <w:r w:rsidDel="00000000" w:rsidR="00000000" w:rsidRPr="00000000">
        <w:rPr>
          <w:rFonts w:ascii="Google Sans Text" w:cs="Google Sans Text" w:eastAsia="Google Sans Text" w:hAnsi="Google Sans Text"/>
          <w:sz w:val="24"/>
          <w:szCs w:val="24"/>
          <w:vertAlign w:val="superscript"/>
          <w:rtl w:val="0"/>
        </w:rPr>
        <w:t xml:space="preserve">2</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7E">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4.2 Symbolic Notation: OPD and OPL</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OPM uses a unique dual-channel representation that closely mirrors the "Theory/Practice" holarchy of GoodReason.</w:t>
      </w:r>
    </w:p>
    <w:p w:rsidR="00000000" w:rsidDel="00000000" w:rsidP="00000000" w:rsidRDefault="00000000" w:rsidRPr="00000000" w14:paraId="00000081">
      <w:pPr>
        <w:numPr>
          <w:ilvl w:val="0"/>
          <w:numId w:val="1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Object-Process Diagrams (OPD):</w:t>
      </w:r>
      <w:r w:rsidDel="00000000" w:rsidR="00000000" w:rsidRPr="00000000">
        <w:rPr>
          <w:rFonts w:ascii="Google Sans Text" w:cs="Google Sans Text" w:eastAsia="Google Sans Text" w:hAnsi="Google Sans Text"/>
          <w:rtl w:val="0"/>
        </w:rPr>
        <w:t xml:space="preserve"> The visual channel. It uses a standardized set of symbols (rectangles for objects, ellipses for processes) and links. For example, an "instrument link" (a line with a circle at the end) denotes that an object is required for a process but is not consumed by it (like a catalyst or a tool). A "consumption link" denotes that the object is destroyed or depleted by the process.</w:t>
      </w:r>
      <w:r w:rsidDel="00000000" w:rsidR="00000000" w:rsidRPr="00000000">
        <w:rPr>
          <w:rFonts w:ascii="Google Sans Text" w:cs="Google Sans Text" w:eastAsia="Google Sans Text" w:hAnsi="Google Sans Text"/>
          <w:sz w:val="24"/>
          <w:szCs w:val="24"/>
          <w:vertAlign w:val="superscript"/>
          <w:rtl w:val="0"/>
        </w:rPr>
        <w:t xml:space="preserve">27</w:t>
      </w:r>
    </w:p>
    <w:p w:rsidR="00000000" w:rsidDel="00000000" w:rsidP="00000000" w:rsidRDefault="00000000" w:rsidRPr="00000000" w14:paraId="00000082">
      <w:pPr>
        <w:numPr>
          <w:ilvl w:val="0"/>
          <w:numId w:val="1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Object-Process Language (OPL):</w:t>
      </w:r>
      <w:r w:rsidDel="00000000" w:rsidR="00000000" w:rsidRPr="00000000">
        <w:rPr>
          <w:rFonts w:ascii="Google Sans Text" w:cs="Google Sans Text" w:eastAsia="Google Sans Text" w:hAnsi="Google Sans Text"/>
          <w:rtl w:val="0"/>
        </w:rPr>
        <w:t xml:space="preserve"> The textual channel. Every OPD is automatically translated into natural English sentences. A diagram showing a "Heating" process connected to a "Water" object via a "State" link would automatically generate the text: </w:t>
      </w:r>
      <w:r w:rsidDel="00000000" w:rsidR="00000000" w:rsidRPr="00000000">
        <w:rPr>
          <w:rFonts w:ascii="Google Sans Text" w:cs="Google Sans Text" w:eastAsia="Google Sans Text" w:hAnsi="Google Sans Text"/>
          <w:i w:val="1"/>
          <w:iCs w:val="1"/>
          <w:rtl w:val="0"/>
        </w:rPr>
        <w:t xml:space="preserve">"Heating changes Water from cold to hot."</w:t>
      </w:r>
      <w:r w:rsidDel="00000000" w:rsidR="00000000" w:rsidRPr="00000000">
        <w:rPr>
          <w:rFonts w:ascii="Google Sans Text" w:cs="Google Sans Text" w:eastAsia="Google Sans Text" w:hAnsi="Google Sans Text"/>
          <w:rtl w:val="0"/>
        </w:rPr>
        <w:t xml:space="preserve">.</w:t>
      </w:r>
      <w:r w:rsidDel="00000000" w:rsidR="00000000" w:rsidRPr="00000000">
        <w:rPr>
          <w:rFonts w:ascii="Google Sans Text" w:cs="Google Sans Text" w:eastAsia="Google Sans Text" w:hAnsi="Google Sans Text"/>
          <w:sz w:val="24"/>
          <w:szCs w:val="24"/>
          <w:vertAlign w:val="superscript"/>
          <w:rtl w:val="0"/>
        </w:rPr>
        <w:t xml:space="preserve">28</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dual notation solves a critical multidisciplinary problem: the communication gap between engineers (who read diagrams) and stakeholders (who read text). It ensures that the "symbolic notation" is not an exclusionary barrier but an inclusive interface.</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8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4.3 Active Usage: ISO 19450 and OPCloud</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8">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4.3.1 Standardization</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OPM was adopted as </w:t>
      </w:r>
      <w:r w:rsidDel="00000000" w:rsidR="00000000" w:rsidRPr="00000000">
        <w:rPr>
          <w:rFonts w:ascii="Google Sans Text" w:cs="Google Sans Text" w:eastAsia="Google Sans Text" w:hAnsi="Google Sans Text"/>
          <w:b w:val="1"/>
          <w:bCs w:val="1"/>
          <w:rtl w:val="0"/>
        </w:rPr>
        <w:t xml:space="preserve">ISO/PAS 19450</w:t>
      </w:r>
      <w:r w:rsidDel="00000000" w:rsidR="00000000" w:rsidRPr="00000000">
        <w:rPr>
          <w:rFonts w:ascii="Google Sans Text" w:cs="Google Sans Text" w:eastAsia="Google Sans Text" w:hAnsi="Google Sans Text"/>
          <w:rtl w:val="0"/>
        </w:rPr>
        <w:t xml:space="preserve"> in 2015.</w:t>
      </w:r>
      <w:r w:rsidDel="00000000" w:rsidR="00000000" w:rsidRPr="00000000">
        <w:rPr>
          <w:rFonts w:ascii="Google Sans Text" w:cs="Google Sans Text" w:eastAsia="Google Sans Text" w:hAnsi="Google Sans Text"/>
          <w:sz w:val="24"/>
          <w:szCs w:val="24"/>
          <w:vertAlign w:val="superscript"/>
          <w:rtl w:val="0"/>
        </w:rPr>
        <w:t xml:space="preserve">26</w:t>
      </w:r>
      <w:r w:rsidDel="00000000" w:rsidR="00000000" w:rsidRPr="00000000">
        <w:rPr>
          <w:rFonts w:ascii="Google Sans Text" w:cs="Google Sans Text" w:eastAsia="Google Sans Text" w:hAnsi="Google Sans Text"/>
          <w:rtl w:val="0"/>
        </w:rPr>
        <w:t xml:space="preserve"> This gives it a level of legitimacy and stability that many academic models lack. It is a standard language for Model-Based Systems Engineering (MBSE), often used alongside or as an alternative to SysML.</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8C">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4.3.2 Tooling: OPCloud</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primary active tool for OPM is </w:t>
      </w:r>
      <w:r w:rsidDel="00000000" w:rsidR="00000000" w:rsidRPr="00000000">
        <w:rPr>
          <w:rFonts w:ascii="Google Sans Text" w:cs="Google Sans Text" w:eastAsia="Google Sans Text" w:hAnsi="Google Sans Text"/>
          <w:b w:val="1"/>
          <w:bCs w:val="1"/>
          <w:rtl w:val="0"/>
        </w:rPr>
        <w:t xml:space="preserve">OPCloud</w:t>
      </w:r>
      <w:r w:rsidDel="00000000" w:rsidR="00000000" w:rsidRPr="00000000">
        <w:rPr>
          <w:rFonts w:ascii="Google Sans Text" w:cs="Google Sans Text" w:eastAsia="Google Sans Text" w:hAnsi="Google Sans Text"/>
          <w:rtl w:val="0"/>
        </w:rPr>
        <w:t xml:space="preserve">, a cloud-based platform that allows for collaborative modeling.</w:t>
      </w:r>
      <w:r w:rsidDel="00000000" w:rsidR="00000000" w:rsidRPr="00000000">
        <w:rPr>
          <w:rFonts w:ascii="Google Sans Text" w:cs="Google Sans Text" w:eastAsia="Google Sans Text" w:hAnsi="Google Sans Text"/>
          <w:sz w:val="24"/>
          <w:szCs w:val="24"/>
          <w:vertAlign w:val="superscript"/>
          <w:rtl w:val="0"/>
        </w:rPr>
        <w:t xml:space="preserve">4</w:t>
      </w:r>
    </w:p>
    <w:p w:rsidR="00000000" w:rsidDel="00000000" w:rsidP="00000000" w:rsidRDefault="00000000" w:rsidRPr="00000000" w14:paraId="0000008F">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Functionality:</w:t>
      </w:r>
      <w:r w:rsidDel="00000000" w:rsidR="00000000" w:rsidRPr="00000000">
        <w:rPr>
          <w:rFonts w:ascii="Google Sans Text" w:cs="Google Sans Text" w:eastAsia="Google Sans Text" w:hAnsi="Google Sans Text"/>
          <w:rtl w:val="0"/>
        </w:rPr>
        <w:t xml:space="preserve"> OPCloud implements the ISO standard and adds computational capabilities. Users can "execute" or simulate the model. Because the symbolic notation relies on precise semantics (e.g., consumption vs. effect), the tool can simulate the system's behavior over time to check for logic errors or resource bottlenecks.</w:t>
      </w:r>
      <w:r w:rsidDel="00000000" w:rsidR="00000000" w:rsidRPr="00000000">
        <w:rPr>
          <w:rFonts w:ascii="Google Sans Text" w:cs="Google Sans Text" w:eastAsia="Google Sans Text" w:hAnsi="Google Sans Text"/>
          <w:sz w:val="24"/>
          <w:szCs w:val="24"/>
          <w:vertAlign w:val="superscript"/>
          <w:rtl w:val="0"/>
        </w:rPr>
        <w:t xml:space="preserve">29</w:t>
      </w:r>
    </w:p>
    <w:p w:rsidR="00000000" w:rsidDel="00000000" w:rsidP="00000000" w:rsidRDefault="00000000" w:rsidRPr="00000000" w14:paraId="00000090">
      <w:pPr>
        <w:numPr>
          <w:ilvl w:val="0"/>
          <w:numId w:val="1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Adoption:</w:t>
      </w:r>
      <w:r w:rsidDel="00000000" w:rsidR="00000000" w:rsidRPr="00000000">
        <w:rPr>
          <w:rFonts w:ascii="Google Sans Text" w:cs="Google Sans Text" w:eastAsia="Google Sans Text" w:hAnsi="Google Sans Text"/>
          <w:rtl w:val="0"/>
        </w:rPr>
        <w:t xml:space="preserve"> It is actively used by </w:t>
      </w:r>
      <w:r w:rsidDel="00000000" w:rsidR="00000000" w:rsidRPr="00000000">
        <w:rPr>
          <w:rFonts w:ascii="Google Sans Text" w:cs="Google Sans Text" w:eastAsia="Google Sans Text" w:hAnsi="Google Sans Text"/>
          <w:b w:val="1"/>
          <w:bCs w:val="1"/>
          <w:rtl w:val="0"/>
        </w:rPr>
        <w:t xml:space="preserve">Fortune 500</w:t>
      </w:r>
      <w:r w:rsidDel="00000000" w:rsidR="00000000" w:rsidRPr="00000000">
        <w:rPr>
          <w:rFonts w:ascii="Google Sans Text" w:cs="Google Sans Text" w:eastAsia="Google Sans Text" w:hAnsi="Google Sans Text"/>
          <w:rtl w:val="0"/>
        </w:rPr>
        <w:t xml:space="preserve"> companies in the </w:t>
      </w:r>
      <w:r w:rsidDel="00000000" w:rsidR="00000000" w:rsidRPr="00000000">
        <w:rPr>
          <w:rFonts w:ascii="Google Sans Text" w:cs="Google Sans Text" w:eastAsia="Google Sans Text" w:hAnsi="Google Sans Text"/>
          <w:b w:val="1"/>
          <w:bCs w:val="1"/>
          <w:rtl w:val="0"/>
        </w:rPr>
        <w:t xml:space="preserve">automotive</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b w:val="1"/>
          <w:bCs w:val="1"/>
          <w:rtl w:val="0"/>
        </w:rPr>
        <w:t xml:space="preserve">aviation</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Google Sans Text" w:cs="Google Sans Text" w:eastAsia="Google Sans Text" w:hAnsi="Google Sans Text"/>
          <w:b w:val="1"/>
          <w:bCs w:val="1"/>
          <w:rtl w:val="0"/>
        </w:rPr>
        <w:t xml:space="preserve">energy</w:t>
      </w:r>
      <w:r w:rsidDel="00000000" w:rsidR="00000000" w:rsidRPr="00000000">
        <w:rPr>
          <w:rFonts w:ascii="Google Sans Text" w:cs="Google Sans Text" w:eastAsia="Google Sans Text" w:hAnsi="Google Sans Text"/>
          <w:rtl w:val="0"/>
        </w:rPr>
        <w:t xml:space="preserve"> sectors. It is also used in academia for teaching systems thinking and in research for modeling complex biological processes (e.g., the mRNA lifecycle).</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 This explicitly targets the "dual-channel processing" of humans, combining visual and verbal cognition to handle complexity.</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4.4 Design Structure Matrix (DSM): The Matrix Approach</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 significant alternative symbolic notation in systems engineering, often used in conjunction with OPM, is the </w:t>
      </w:r>
      <w:r w:rsidDel="00000000" w:rsidR="00000000" w:rsidRPr="00000000">
        <w:rPr>
          <w:rFonts w:ascii="Google Sans Text" w:cs="Google Sans Text" w:eastAsia="Google Sans Text" w:hAnsi="Google Sans Text"/>
          <w:b w:val="1"/>
          <w:bCs w:val="1"/>
          <w:rtl w:val="0"/>
        </w:rPr>
        <w:t xml:space="preserve">Design Structure Matrix (DSM)</w:t>
      </w:r>
      <w:r w:rsidDel="00000000" w:rsidR="00000000" w:rsidRPr="00000000">
        <w:rPr>
          <w:rFonts w:ascii="Google Sans Text" w:cs="Google Sans Text" w:eastAsia="Google Sans Text" w:hAnsi="Google Sans Text"/>
          <w:rtl w:val="0"/>
        </w:rPr>
        <w:t xml:space="preserve">.</w:t>
      </w:r>
      <w:r w:rsidDel="00000000" w:rsidR="00000000" w:rsidRPr="00000000">
        <w:rPr>
          <w:rFonts w:ascii="Google Sans Text" w:cs="Google Sans Text" w:eastAsia="Google Sans Text" w:hAnsi="Google Sans Text"/>
          <w:sz w:val="24"/>
          <w:szCs w:val="24"/>
          <w:vertAlign w:val="superscript"/>
          <w:rtl w:val="0"/>
        </w:rPr>
        <w:t xml:space="preserve">31</w:t>
      </w:r>
    </w:p>
    <w:p w:rsidR="00000000" w:rsidDel="00000000" w:rsidP="00000000" w:rsidRDefault="00000000" w:rsidRPr="00000000" w14:paraId="00000095">
      <w:pPr>
        <w:numPr>
          <w:ilvl w:val="0"/>
          <w:numId w:val="1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Symbolic Notation:</w:t>
      </w:r>
      <w:r w:rsidDel="00000000" w:rsidR="00000000" w:rsidRPr="00000000">
        <w:rPr>
          <w:rFonts w:ascii="Google Sans Text" w:cs="Google Sans Text" w:eastAsia="Google Sans Text" w:hAnsi="Google Sans Text"/>
          <w:rtl w:val="0"/>
        </w:rPr>
        <w:t xml:space="preserve"> Unlike the graph-based notation of OPM or Ologs, DSM uses a square matrix to represent relationships between system elements. The elements (tasks, components, or parameters) are listed on the rows and columns. An "X" or a numerical value in cell $(i, j)$ indicates a dependency between element $i$ and element $j$.</w:t>
      </w:r>
      <w:r w:rsidDel="00000000" w:rsidR="00000000" w:rsidRPr="00000000">
        <w:rPr>
          <w:rFonts w:ascii="Google Sans Text" w:cs="Google Sans Text" w:eastAsia="Google Sans Text" w:hAnsi="Google Sans Text"/>
          <w:sz w:val="24"/>
          <w:szCs w:val="24"/>
          <w:vertAlign w:val="superscript"/>
          <w:rtl w:val="0"/>
        </w:rPr>
        <w:t xml:space="preserve">32</w:t>
      </w:r>
    </w:p>
    <w:p w:rsidR="00000000" w:rsidDel="00000000" w:rsidP="00000000" w:rsidRDefault="00000000" w:rsidRPr="00000000" w14:paraId="00000096">
      <w:pPr>
        <w:numPr>
          <w:ilvl w:val="0"/>
          <w:numId w:val="1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Multidisciplinary Utility:</w:t>
      </w:r>
      <w:r w:rsidDel="00000000" w:rsidR="00000000" w:rsidRPr="00000000">
        <w:rPr>
          <w:rFonts w:ascii="Google Sans Text" w:cs="Google Sans Text" w:eastAsia="Google Sans Text" w:hAnsi="Google Sans Text"/>
          <w:rtl w:val="0"/>
        </w:rPr>
        <w:t xml:space="preserve"> DSM is particularly powerful for identifying feedback loops (cycles) in complex processes, which appear as marks above the diagonal in the matrix. It is used to optimize </w:t>
      </w:r>
      <w:r w:rsidDel="00000000" w:rsidR="00000000" w:rsidRPr="00000000">
        <w:rPr>
          <w:rFonts w:ascii="Google Sans Text" w:cs="Google Sans Text" w:eastAsia="Google Sans Text" w:hAnsi="Google Sans Text"/>
          <w:b w:val="1"/>
          <w:bCs w:val="1"/>
          <w:rtl w:val="0"/>
        </w:rPr>
        <w:t xml:space="preserve">engineering workflows</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b w:val="1"/>
          <w:bCs w:val="1"/>
          <w:rtl w:val="0"/>
        </w:rPr>
        <w:t xml:space="preserve">organizational structures</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Google Sans Text" w:cs="Google Sans Text" w:eastAsia="Google Sans Text" w:hAnsi="Google Sans Text"/>
          <w:b w:val="1"/>
          <w:bCs w:val="1"/>
          <w:rtl w:val="0"/>
        </w:rPr>
        <w:t xml:space="preserve">product architectures</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97">
      <w:pPr>
        <w:numPr>
          <w:ilvl w:val="0"/>
          <w:numId w:val="17"/>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Active Usage:</w:t>
      </w:r>
      <w:r w:rsidDel="00000000" w:rsidR="00000000" w:rsidRPr="00000000">
        <w:rPr>
          <w:rFonts w:ascii="Google Sans Text" w:cs="Google Sans Text" w:eastAsia="Google Sans Text" w:hAnsi="Google Sans Text"/>
          <w:rtl w:val="0"/>
        </w:rPr>
        <w:t xml:space="preserve"> DSM is widely used in </w:t>
      </w:r>
      <w:r w:rsidDel="00000000" w:rsidR="00000000" w:rsidRPr="00000000">
        <w:rPr>
          <w:rFonts w:ascii="Google Sans Text" w:cs="Google Sans Text" w:eastAsia="Google Sans Text" w:hAnsi="Google Sans Text"/>
          <w:b w:val="1"/>
          <w:bCs w:val="1"/>
          <w:rtl w:val="0"/>
        </w:rPr>
        <w:t xml:space="preserve">aerospace</w:t>
      </w:r>
      <w:r w:rsidDel="00000000" w:rsidR="00000000" w:rsidRPr="00000000">
        <w:rPr>
          <w:rFonts w:ascii="Google Sans Text" w:cs="Google Sans Text" w:eastAsia="Google Sans Text" w:hAnsi="Google Sans Text"/>
          <w:rtl w:val="0"/>
        </w:rPr>
        <w:t xml:space="preserve"> (e.g., by NASA and Boeing) to manage the integration of thousands of subsystems. It is also a key tool in "interface management," helping multidisciplinary teams understand where their work impacts others.</w:t>
      </w:r>
      <w:r w:rsidDel="00000000" w:rsidR="00000000" w:rsidRPr="00000000">
        <w:rPr>
          <w:rFonts w:ascii="Google Sans Text" w:cs="Google Sans Text" w:eastAsia="Google Sans Text" w:hAnsi="Google Sans Text"/>
          <w:sz w:val="24"/>
          <w:szCs w:val="24"/>
          <w:vertAlign w:val="superscript"/>
          <w:rtl w:val="0"/>
        </w:rPr>
        <w:t xml:space="preserve">33</w:t>
      </w:r>
      <w:r w:rsidDel="00000000" w:rsidR="00000000" w:rsidRPr="00000000">
        <w:rPr>
          <w:rFonts w:ascii="Google Sans Text" w:cs="Google Sans Text" w:eastAsia="Google Sans Text" w:hAnsi="Google Sans Text"/>
          <w:rtl w:val="0"/>
        </w:rPr>
        <w:t xml:space="preserve"> The "Multi-Domain DSM (MDDSM)" specifically addresses the integration of different model types (e.g., environmental stressors vs. urban morphology) into a single framework.</w:t>
      </w:r>
      <w:r w:rsidDel="00000000" w:rsidR="00000000" w:rsidRPr="00000000">
        <w:rPr>
          <w:rFonts w:ascii="Google Sans Text" w:cs="Google Sans Text" w:eastAsia="Google Sans Text" w:hAnsi="Google Sans Text"/>
          <w:sz w:val="24"/>
          <w:szCs w:val="24"/>
          <w:vertAlign w:val="superscript"/>
          <w:rtl w:val="0"/>
        </w:rPr>
        <w:t xml:space="preserve">35</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Table 1: Comparison of Engineering Symbolic Notations</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Feature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Object-Process Methodology (OPM)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Design Structure Matrix (DSM)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Symbolic Form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Graph-based (Nodes, Edges, Shapes)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Matrix-based (Rows, Columns, Cells)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Primary Focus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Unifying Structure and Behavior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Interface Management &amp; Dependency Analysis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Multidisciplinary Mechanism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Universal Ontology (Objects/Processes)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Mapping Dependencies across Domains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Active Tooling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OPCloud, ISO 19450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Project Management Software, MDDSM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Key Insight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Great for </w:t>
            </w:r>
            <w:r w:rsidDel="00000000" w:rsidR="00000000" w:rsidRPr="00000000">
              <w:rPr>
                <w:rFonts w:ascii="Google Sans Text" w:cs="Google Sans Text" w:eastAsia="Google Sans Text" w:hAnsi="Google Sans Text"/>
                <w:i w:val="1"/>
                <w:iCs w:val="1"/>
                <w:rtl w:val="0"/>
              </w:rPr>
              <w:t xml:space="preserve">describing</w:t>
            </w:r>
            <w:r w:rsidDel="00000000" w:rsidR="00000000" w:rsidRPr="00000000">
              <w:rPr>
                <w:rFonts w:ascii="Google Sans Text" w:cs="Google Sans Text" w:eastAsia="Google Sans Text" w:hAnsi="Google Sans Text"/>
                <w:rtl w:val="0"/>
              </w:rPr>
              <w:t xml:space="preserve"> the system logic.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Great for </w:t>
            </w:r>
            <w:r w:rsidDel="00000000" w:rsidR="00000000" w:rsidRPr="00000000">
              <w:rPr>
                <w:rFonts w:ascii="Google Sans Text" w:cs="Google Sans Text" w:eastAsia="Google Sans Text" w:hAnsi="Google Sans Text"/>
                <w:i w:val="1"/>
                <w:iCs w:val="1"/>
                <w:rtl w:val="0"/>
              </w:rPr>
              <w:t xml:space="preserve">optimizing</w:t>
            </w:r>
            <w:r w:rsidDel="00000000" w:rsidR="00000000" w:rsidRPr="00000000">
              <w:rPr>
                <w:rFonts w:ascii="Google Sans Text" w:cs="Google Sans Text" w:eastAsia="Google Sans Text" w:hAnsi="Google Sans Text"/>
                <w:rtl w:val="0"/>
              </w:rPr>
              <w:t xml:space="preserve"> the system architecture.</w:t>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before="48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AE">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 Knowledge Representation: From Conceptual Graphs to Knowledge Graphs</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third cluster of models focuses on </w:t>
      </w:r>
      <w:r w:rsidDel="00000000" w:rsidR="00000000" w:rsidRPr="00000000">
        <w:rPr>
          <w:rFonts w:ascii="Google Sans Text" w:cs="Google Sans Text" w:eastAsia="Google Sans Text" w:hAnsi="Google Sans Text"/>
          <w:b w:val="1"/>
          <w:bCs w:val="1"/>
          <w:rtl w:val="0"/>
        </w:rPr>
        <w:t xml:space="preserve">Knowledge Representation (KR)</w:t>
      </w:r>
      <w:r w:rsidDel="00000000" w:rsidR="00000000" w:rsidRPr="00000000">
        <w:rPr>
          <w:rFonts w:ascii="Google Sans Text" w:cs="Google Sans Text" w:eastAsia="Google Sans Text" w:hAnsi="Google Sans Text"/>
          <w:rtl w:val="0"/>
        </w:rPr>
        <w:t xml:space="preserve">. These systems trace their lineage to Charles Sanders Peirce's Existential Graphs and John Sowa's Conceptual Graphs (CGs). In 2024-2025, these have evolved into the ubiquitous </w:t>
      </w:r>
      <w:r w:rsidDel="00000000" w:rsidR="00000000" w:rsidRPr="00000000">
        <w:rPr>
          <w:rFonts w:ascii="Google Sans Text" w:cs="Google Sans Text" w:eastAsia="Google Sans Text" w:hAnsi="Google Sans Text"/>
          <w:b w:val="1"/>
          <w:bCs w:val="1"/>
          <w:rtl w:val="0"/>
        </w:rPr>
        <w:t xml:space="preserve">Knowledge Graph (KG)</w:t>
      </w:r>
      <w:r w:rsidDel="00000000" w:rsidR="00000000" w:rsidRPr="00000000">
        <w:rPr>
          <w:rFonts w:ascii="Google Sans Text" w:cs="Google Sans Text" w:eastAsia="Google Sans Text" w:hAnsi="Google Sans Text"/>
          <w:rtl w:val="0"/>
        </w:rPr>
        <w:t xml:space="preserve"> technology, which powers much of the modern internet's semantic understanding.</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B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5.1 Conceptual Graphs (CGs): The Logical Foundation</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5">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5.1.1 Classical Framework</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Conceptual Graphs are a logic-based formalism designed to express meaning in a form that is logically precise, humanly readable, and computationally tractable. A CG is a bipartite graph with two types of nodes:</w:t>
      </w:r>
    </w:p>
    <w:p w:rsidR="00000000" w:rsidDel="00000000" w:rsidP="00000000" w:rsidRDefault="00000000" w:rsidRPr="00000000" w14:paraId="000000B8">
      <w:pPr>
        <w:numPr>
          <w:ilvl w:val="0"/>
          <w:numId w:val="1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Concept Nodes:</w:t>
      </w:r>
      <w:r w:rsidDel="00000000" w:rsidR="00000000" w:rsidRPr="00000000">
        <w:rPr>
          <w:rFonts w:ascii="Google Sans Text" w:cs="Google Sans Text" w:eastAsia="Google Sans Text" w:hAnsi="Google Sans Text"/>
          <w:rtl w:val="0"/>
        </w:rPr>
        <w:t xml:space="preserve"> Represent entities (e.g., [Cat], [Mat]).</w:t>
      </w:r>
    </w:p>
    <w:p w:rsidR="00000000" w:rsidDel="00000000" w:rsidP="00000000" w:rsidRDefault="00000000" w:rsidRPr="00000000" w14:paraId="000000B9">
      <w:pPr>
        <w:numPr>
          <w:ilvl w:val="0"/>
          <w:numId w:val="18"/>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Relation Nodes:</w:t>
      </w:r>
      <w:r w:rsidDel="00000000" w:rsidR="00000000" w:rsidRPr="00000000">
        <w:rPr>
          <w:rFonts w:ascii="Google Sans Text" w:cs="Google Sans Text" w:eastAsia="Google Sans Text" w:hAnsi="Google Sans Text"/>
          <w:rtl w:val="0"/>
        </w:rPr>
        <w:t xml:space="preserve"> Represent relationships (e.g., (Sitting-On)).</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notation [Cat] -&gt; (Sitting-On) -&gt; [Mat] translates directly to First-Order Logic: $\exists x \exists y (Cat(x) \land Mat(y) \land SittingOn(x, y))$.</w:t>
      </w:r>
      <w:r w:rsidDel="00000000" w:rsidR="00000000" w:rsidRPr="00000000">
        <w:rPr>
          <w:rFonts w:ascii="Google Sans Text" w:cs="Google Sans Text" w:eastAsia="Google Sans Text" w:hAnsi="Google Sans Text"/>
          <w:sz w:val="24"/>
          <w:szCs w:val="24"/>
          <w:vertAlign w:val="superscript"/>
          <w:rtl w:val="0"/>
        </w:rPr>
        <w:t xml:space="preserve">36</w:t>
      </w:r>
      <w:r w:rsidDel="00000000" w:rsidR="00000000" w:rsidRPr="00000000">
        <w:rPr>
          <w:rFonts w:ascii="Google Sans Text" w:cs="Google Sans Text" w:eastAsia="Google Sans Text" w:hAnsi="Google Sans Text"/>
          <w:rtl w:val="0"/>
        </w:rPr>
        <w:t xml:space="preserve"> This notation is isomorphic to Peirce's existential graphs, providing a direct lineage to the semiotic roots of the GoodReason model.</w:t>
      </w:r>
      <w:r w:rsidDel="00000000" w:rsidR="00000000" w:rsidRPr="00000000">
        <w:rPr>
          <w:rFonts w:ascii="Google Sans Text" w:cs="Google Sans Text" w:eastAsia="Google Sans Text" w:hAnsi="Google Sans Text"/>
          <w:sz w:val="24"/>
          <w:szCs w:val="24"/>
          <w:vertAlign w:val="superscript"/>
          <w:rtl w:val="0"/>
        </w:rPr>
        <w:t xml:space="preserve">37</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BC">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5.1.2 Active Tools: CoGui and Amine</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While the term "Conceptual Graph" is less common in general industry than "Knowledge Graph," specific tools utilize the classical notation for specialized reasoning tasks:</w:t>
      </w:r>
    </w:p>
    <w:p w:rsidR="00000000" w:rsidDel="00000000" w:rsidP="00000000" w:rsidRDefault="00000000" w:rsidRPr="00000000" w14:paraId="000000BF">
      <w:pPr>
        <w:numPr>
          <w:ilvl w:val="0"/>
          <w:numId w:val="1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CoGui:</w:t>
      </w:r>
      <w:r w:rsidDel="00000000" w:rsidR="00000000" w:rsidRPr="00000000">
        <w:rPr>
          <w:rFonts w:ascii="Google Sans Text" w:cs="Google Sans Text" w:eastAsia="Google Sans Text" w:hAnsi="Google Sans Text"/>
          <w:rtl w:val="0"/>
        </w:rPr>
        <w:t xml:space="preserve"> A Java-based visual tool for building CG knowledge bases. It is active in research for verifying logical rules and default reasoning. It allows users to define "rules" visually (e.g., "If X is a Bird, then X acts-as Flying") and use these for logical inference.</w:t>
      </w:r>
      <w:r w:rsidDel="00000000" w:rsidR="00000000" w:rsidRPr="00000000">
        <w:rPr>
          <w:rFonts w:ascii="Google Sans Text" w:cs="Google Sans Text" w:eastAsia="Google Sans Text" w:hAnsi="Google Sans Text"/>
          <w:sz w:val="24"/>
          <w:szCs w:val="24"/>
          <w:vertAlign w:val="superscript"/>
          <w:rtl w:val="0"/>
        </w:rPr>
        <w:t xml:space="preserve">38</w:t>
      </w:r>
    </w:p>
    <w:p w:rsidR="00000000" w:rsidDel="00000000" w:rsidP="00000000" w:rsidRDefault="00000000" w:rsidRPr="00000000" w14:paraId="000000C0">
      <w:pPr>
        <w:numPr>
          <w:ilvl w:val="0"/>
          <w:numId w:val="19"/>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Amine Platform:</w:t>
      </w:r>
      <w:r w:rsidDel="00000000" w:rsidR="00000000" w:rsidRPr="00000000">
        <w:rPr>
          <w:rFonts w:ascii="Google Sans Text" w:cs="Google Sans Text" w:eastAsia="Google Sans Text" w:hAnsi="Google Sans Text"/>
          <w:rtl w:val="0"/>
        </w:rPr>
        <w:t xml:space="preserve"> A multi-layer AI development environment that uses CGs as its core ontology language. It enables the development of intelligent agents and supports natural language processing (NLP) by mapping text to CG structures. Amine explicitly supports the "activation" of graphs, where a graph is not just static data but a process that can "run" (e.g., an agent executing a plan defined as a CG).</w:t>
      </w:r>
      <w:r w:rsidDel="00000000" w:rsidR="00000000" w:rsidRPr="00000000">
        <w:rPr>
          <w:rFonts w:ascii="Google Sans Text" w:cs="Google Sans Text" w:eastAsia="Google Sans Text" w:hAnsi="Google Sans Text"/>
          <w:sz w:val="24"/>
          <w:szCs w:val="24"/>
          <w:vertAlign w:val="superscript"/>
          <w:rtl w:val="0"/>
        </w:rPr>
        <w:t xml:space="preserve">39</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C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5.2 Modern Knowledge Graphs (KGs): Industrial Scale Semantics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industrial successor to CGs is the Knowledge Graph. KGs use the same fundamental graph-based symbolic notation (Nodes and Edges) but are scaled for web-sized data and integrated with machine learning.</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6">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5.2.1 Multidisciplinary Data Integration</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KGs are the primary tool for "Semantic Search" and data integration in large enterprises. They allow disparate data points to be linked via a "semantic layer."</w:t>
      </w:r>
    </w:p>
    <w:p w:rsidR="00000000" w:rsidDel="00000000" w:rsidP="00000000" w:rsidRDefault="00000000" w:rsidRPr="00000000" w14:paraId="000000C9">
      <w:pPr>
        <w:numPr>
          <w:ilvl w:val="0"/>
          <w:numId w:val="20"/>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Google Knowledge Graph:</w:t>
      </w:r>
      <w:r w:rsidDel="00000000" w:rsidR="00000000" w:rsidRPr="00000000">
        <w:rPr>
          <w:rFonts w:ascii="Google Sans Text" w:cs="Google Sans Text" w:eastAsia="Google Sans Text" w:hAnsi="Google Sans Text"/>
          <w:rtl w:val="0"/>
        </w:rPr>
        <w:t xml:space="preserve"> Shifts search from "strings" to "things." It understands that "Jaguar" is an entity that can be a "Car" (Engineering) or an "Animal" (Biology), disambiguating based on context.</w:t>
      </w:r>
      <w:r w:rsidDel="00000000" w:rsidR="00000000" w:rsidRPr="00000000">
        <w:rPr>
          <w:rFonts w:ascii="Google Sans Text" w:cs="Google Sans Text" w:eastAsia="Google Sans Text" w:hAnsi="Google Sans Text"/>
          <w:sz w:val="24"/>
          <w:szCs w:val="24"/>
          <w:vertAlign w:val="superscript"/>
          <w:rtl w:val="0"/>
        </w:rPr>
        <w:t xml:space="preserve">41</w:t>
      </w:r>
    </w:p>
    <w:p w:rsidR="00000000" w:rsidDel="00000000" w:rsidP="00000000" w:rsidRDefault="00000000" w:rsidRPr="00000000" w14:paraId="000000CA">
      <w:pPr>
        <w:numPr>
          <w:ilvl w:val="0"/>
          <w:numId w:val="20"/>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ArcGIS Knowledge:</w:t>
      </w:r>
      <w:r w:rsidDel="00000000" w:rsidR="00000000" w:rsidRPr="00000000">
        <w:rPr>
          <w:rFonts w:ascii="Google Sans Text" w:cs="Google Sans Text" w:eastAsia="Google Sans Text" w:hAnsi="Google Sans Text"/>
          <w:rtl w:val="0"/>
        </w:rPr>
        <w:t xml:space="preserve"> An active product from Esri that applies KG technology to geospatial data. It allows users to model supply chains, criminal networks, or ecological systems by linking spatial data (maps) with non-spatial data (documents, transactions) in a graph structure.</w:t>
      </w:r>
      <w:r w:rsidDel="00000000" w:rsidR="00000000" w:rsidRPr="00000000">
        <w:rPr>
          <w:rFonts w:ascii="Google Sans Text" w:cs="Google Sans Text" w:eastAsia="Google Sans Text" w:hAnsi="Google Sans Text"/>
          <w:sz w:val="24"/>
          <w:szCs w:val="24"/>
          <w:vertAlign w:val="superscript"/>
          <w:rtl w:val="0"/>
        </w:rPr>
        <w:t xml:space="preserve">42</w:t>
      </w:r>
      <w:r w:rsidDel="00000000" w:rsidR="00000000" w:rsidRPr="00000000">
        <w:rPr>
          <w:rFonts w:ascii="Google Sans Text" w:cs="Google Sans Text" w:eastAsia="Google Sans Text" w:hAnsi="Google Sans Text"/>
          <w:rtl w:val="0"/>
        </w:rPr>
        <w:t xml:space="preserve"> This is a quintessential multidisciplinary model, merging geography with network science.</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C">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5.2.2 The Knowing® App and Reasoning</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direct consumer-facing application of this philosophy is the </w:t>
      </w:r>
      <w:r w:rsidDel="00000000" w:rsidR="00000000" w:rsidRPr="00000000">
        <w:rPr>
          <w:rFonts w:ascii="Google Sans Text" w:cs="Google Sans Text" w:eastAsia="Google Sans Text" w:hAnsi="Google Sans Text"/>
          <w:b w:val="1"/>
          <w:bCs w:val="1"/>
          <w:rtl w:val="0"/>
        </w:rPr>
        <w:t xml:space="preserve">Knowing®</w:t>
      </w:r>
      <w:r w:rsidDel="00000000" w:rsidR="00000000" w:rsidRPr="00000000">
        <w:rPr>
          <w:rFonts w:ascii="Google Sans Text" w:cs="Google Sans Text" w:eastAsia="Google Sans Text" w:hAnsi="Google Sans Text"/>
          <w:rtl w:val="0"/>
        </w:rPr>
        <w:t xml:space="preserve"> app.</w:t>
      </w:r>
    </w:p>
    <w:p w:rsidR="00000000" w:rsidDel="00000000" w:rsidP="00000000" w:rsidRDefault="00000000" w:rsidRPr="00000000" w14:paraId="000000CF">
      <w:pPr>
        <w:numPr>
          <w:ilvl w:val="0"/>
          <w:numId w:val="2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Function:</w:t>
      </w:r>
      <w:r w:rsidDel="00000000" w:rsidR="00000000" w:rsidRPr="00000000">
        <w:rPr>
          <w:rFonts w:ascii="Google Sans Text" w:cs="Google Sans Text" w:eastAsia="Google Sans Text" w:hAnsi="Google Sans Text"/>
          <w:rtl w:val="0"/>
        </w:rPr>
        <w:t xml:space="preserve"> It uses a graph-based interface to help users build "knowledge structures."</w:t>
      </w:r>
    </w:p>
    <w:p w:rsidR="00000000" w:rsidDel="00000000" w:rsidP="00000000" w:rsidRDefault="00000000" w:rsidRPr="00000000" w14:paraId="000000D0">
      <w:pPr>
        <w:numPr>
          <w:ilvl w:val="0"/>
          <w:numId w:val="2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Relevance:</w:t>
      </w:r>
      <w:r w:rsidDel="00000000" w:rsidR="00000000" w:rsidRPr="00000000">
        <w:rPr>
          <w:rFonts w:ascii="Google Sans Text" w:cs="Google Sans Text" w:eastAsia="Google Sans Text" w:hAnsi="Google Sans Text"/>
          <w:rtl w:val="0"/>
        </w:rPr>
        <w:t xml:space="preserve"> It markets itself on the ability to "navigate complex ideas" and "expand knowledge," directly echoing the GoodReason mission of assisting the "growth of significant mathematical concepts" and reasoning.</w:t>
      </w:r>
      <w:r w:rsidDel="00000000" w:rsidR="00000000" w:rsidRPr="00000000">
        <w:rPr>
          <w:rFonts w:ascii="Google Sans Text" w:cs="Google Sans Text" w:eastAsia="Google Sans Text" w:hAnsi="Google Sans Text"/>
          <w:sz w:val="24"/>
          <w:szCs w:val="24"/>
          <w:vertAlign w:val="superscript"/>
          <w:rtl w:val="0"/>
        </w:rPr>
        <w:t xml:space="preserve">43</w:t>
      </w:r>
      <w:r w:rsidDel="00000000" w:rsidR="00000000" w:rsidRPr="00000000">
        <w:rPr>
          <w:rFonts w:ascii="Google Sans Text" w:cs="Google Sans Text" w:eastAsia="Google Sans Text" w:hAnsi="Google Sans Text"/>
          <w:rtl w:val="0"/>
        </w:rPr>
        <w:t xml:space="preserve"> It uses AI to suggest connections, effectively acting as a semiotic partner in the reasoning process.</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5.3 Legal Reasoning Models</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specific multidisciplinary domain where "GoodReason" logic is applied is </w:t>
      </w:r>
      <w:r w:rsidDel="00000000" w:rsidR="00000000" w:rsidRPr="00000000">
        <w:rPr>
          <w:rFonts w:ascii="Google Sans Text" w:cs="Google Sans Text" w:eastAsia="Google Sans Text" w:hAnsi="Google Sans Text"/>
          <w:b w:val="1"/>
          <w:bCs w:val="1"/>
          <w:rtl w:val="0"/>
        </w:rPr>
        <w:t xml:space="preserve">Legal Reasoning</w:t>
      </w:r>
      <w:r w:rsidDel="00000000" w:rsidR="00000000" w:rsidRPr="00000000">
        <w:rPr>
          <w:rFonts w:ascii="Google Sans Text" w:cs="Google Sans Text" w:eastAsia="Google Sans Text" w:hAnsi="Google Sans Text"/>
          <w:rtl w:val="0"/>
        </w:rPr>
        <w:t xml:space="preserve">. Law is a system of norms, rules, and interpretations that requires rigorous symbolic logic.</w:t>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Argumentation Frameworks:</w:t>
      </w:r>
      <w:r w:rsidDel="00000000" w:rsidR="00000000" w:rsidRPr="00000000">
        <w:rPr>
          <w:rFonts w:ascii="Google Sans Text" w:cs="Google Sans Text" w:eastAsia="Google Sans Text" w:hAnsi="Google Sans Text"/>
          <w:rtl w:val="0"/>
        </w:rPr>
        <w:t xml:space="preserve"> Research snippets highlight the use of "GoodReason" in the context of legal argumentation, specifically regarding "good reason" regulations for carrying firearms.</w:t>
      </w:r>
      <w:r w:rsidDel="00000000" w:rsidR="00000000" w:rsidRPr="00000000">
        <w:rPr>
          <w:rFonts w:ascii="Google Sans Text" w:cs="Google Sans Text" w:eastAsia="Google Sans Text" w:hAnsi="Google Sans Text"/>
          <w:sz w:val="24"/>
          <w:szCs w:val="24"/>
          <w:vertAlign w:val="superscript"/>
          <w:rtl w:val="0"/>
        </w:rPr>
        <w:t xml:space="preserve">44</w:t>
      </w:r>
      <w:r w:rsidDel="00000000" w:rsidR="00000000" w:rsidRPr="00000000">
        <w:rPr>
          <w:rFonts w:ascii="Google Sans Text" w:cs="Google Sans Text" w:eastAsia="Google Sans Text" w:hAnsi="Google Sans Text"/>
          <w:rtl w:val="0"/>
        </w:rPr>
        <w:t xml:space="preserve"> While this specific snippet refers to case law, the underlying computational structure for legal reasoning often employs </w:t>
      </w:r>
      <w:r w:rsidDel="00000000" w:rsidR="00000000" w:rsidRPr="00000000">
        <w:rPr>
          <w:rFonts w:ascii="Google Sans Text" w:cs="Google Sans Text" w:eastAsia="Google Sans Text" w:hAnsi="Google Sans Text"/>
          <w:b w:val="1"/>
          <w:bCs w:val="1"/>
          <w:rtl w:val="0"/>
        </w:rPr>
        <w:t xml:space="preserve">Defeasible Logic</w:t>
      </w:r>
      <w:r w:rsidDel="00000000" w:rsidR="00000000" w:rsidRPr="00000000">
        <w:rPr>
          <w:rFonts w:ascii="Google Sans Text" w:cs="Google Sans Text" w:eastAsia="Google Sans Text" w:hAnsi="Google Sans Text"/>
          <w:rtl w:val="0"/>
        </w:rPr>
        <w:t xml:space="preserve"> or </w:t>
      </w:r>
      <w:r w:rsidDel="00000000" w:rsidR="00000000" w:rsidRPr="00000000">
        <w:rPr>
          <w:rFonts w:ascii="Google Sans Text" w:cs="Google Sans Text" w:eastAsia="Google Sans Text" w:hAnsi="Google Sans Text"/>
          <w:b w:val="1"/>
          <w:bCs w:val="1"/>
          <w:rtl w:val="0"/>
        </w:rPr>
        <w:t xml:space="preserve">Argumentation Schemes</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Symbolic Implementation:</w:t>
      </w:r>
      <w:r w:rsidDel="00000000" w:rsidR="00000000" w:rsidRPr="00000000">
        <w:rPr>
          <w:rFonts w:ascii="Google Sans Text" w:cs="Google Sans Text" w:eastAsia="Google Sans Text" w:hAnsi="Google Sans Text"/>
          <w:rtl w:val="0"/>
        </w:rPr>
        <w:t xml:space="preserve"> Tools like </w:t>
      </w:r>
      <w:r w:rsidDel="00000000" w:rsidR="00000000" w:rsidRPr="00000000">
        <w:rPr>
          <w:rFonts w:ascii="Google Sans Text" w:cs="Google Sans Text" w:eastAsia="Google Sans Text" w:hAnsi="Google Sans Text"/>
          <w:b w:val="1"/>
          <w:bCs w:val="1"/>
          <w:rtl w:val="0"/>
        </w:rPr>
        <w:t xml:space="preserve">Lexiphon</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sz w:val="24"/>
          <w:szCs w:val="24"/>
          <w:vertAlign w:val="superscript"/>
          <w:rtl w:val="0"/>
        </w:rPr>
        <w:t xml:space="preserve">54</w:t>
      </w:r>
      <w:r w:rsidDel="00000000" w:rsidR="00000000" w:rsidRPr="00000000">
        <w:rPr>
          <w:rFonts w:ascii="Google Sans Text" w:cs="Google Sans Text" w:eastAsia="Google Sans Text" w:hAnsi="Google Sans Text"/>
          <w:rtl w:val="0"/>
        </w:rPr>
        <w:t xml:space="preserve"> represent early attempts to model literacy and reasoning using computer-aided instruction. Modern legal tech uses knowledge graphs to model legislation and case law, allowing for the automated checking of "compliance paths"—a direct analogue to the "commutative diagrams" in Ologs. The question "Is there a good reason to do X?" becomes a query against a graph of legal norms and exceptions.</w:t>
      </w:r>
      <w:r w:rsidDel="00000000" w:rsidR="00000000" w:rsidRPr="00000000">
        <w:rPr>
          <w:rFonts w:ascii="Google Sans Text" w:cs="Google Sans Text" w:eastAsia="Google Sans Text" w:hAnsi="Google Sans Text"/>
          <w:sz w:val="24"/>
          <w:szCs w:val="24"/>
          <w:vertAlign w:val="superscript"/>
          <w:rtl w:val="0"/>
        </w:rPr>
        <w:t xml:space="preserve">45</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D8">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 The Frontier: Neuro-Symbolic Integration</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final and most futuristic category involves </w:t>
      </w:r>
      <w:r w:rsidDel="00000000" w:rsidR="00000000" w:rsidRPr="00000000">
        <w:rPr>
          <w:rFonts w:ascii="Google Sans Text" w:cs="Google Sans Text" w:eastAsia="Google Sans Text" w:hAnsi="Google Sans Text"/>
          <w:b w:val="1"/>
          <w:bCs w:val="1"/>
          <w:rtl w:val="0"/>
        </w:rPr>
        <w:t xml:space="preserve">Neuro-Symbolic AI</w:t>
      </w:r>
      <w:r w:rsidDel="00000000" w:rsidR="00000000" w:rsidRPr="00000000">
        <w:rPr>
          <w:rFonts w:ascii="Google Sans Text" w:cs="Google Sans Text" w:eastAsia="Google Sans Text" w:hAnsi="Google Sans Text"/>
          <w:rtl w:val="0"/>
        </w:rPr>
        <w:t xml:space="preserve">. This field addresses the limitations of purely statistical models (like standard Large Language Models) by reintegrating symbolic notation. It represents the ultimate convergence of "Theory" (Symbolic Logic) and "Practice" (Neural Learning).</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6.1 The "Black Box" Problem</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Deep Learning (DL) is excellent at perception—recognizing a tumor in an X-ray or parsing a sentence. However, it is poor at rigorous reasoning. It cannot explain </w:t>
      </w:r>
      <w:r w:rsidDel="00000000" w:rsidR="00000000" w:rsidRPr="00000000">
        <w:rPr>
          <w:rFonts w:ascii="Google Sans Text" w:cs="Google Sans Text" w:eastAsia="Google Sans Text" w:hAnsi="Google Sans Text"/>
          <w:i w:val="1"/>
          <w:iCs w:val="1"/>
          <w:rtl w:val="0"/>
        </w:rPr>
        <w:t xml:space="preserve">why</w:t>
      </w:r>
      <w:r w:rsidDel="00000000" w:rsidR="00000000" w:rsidRPr="00000000">
        <w:rPr>
          <w:rFonts w:ascii="Google Sans Text" w:cs="Google Sans Text" w:eastAsia="Google Sans Text" w:hAnsi="Google Sans Text"/>
          <w:rtl w:val="0"/>
        </w:rPr>
        <w:t xml:space="preserve"> it reached a conclusion, nor can it guarantee adherence to strict rules (e.g., safety protocols). Symbolic AI is the reverse: precise and interpretable, but brittle and hard to scale. Neuro-Symbolic AI aims to fuse them.</w:t>
      </w:r>
      <w:r w:rsidDel="00000000" w:rsidR="00000000" w:rsidRPr="00000000">
        <w:rPr>
          <w:rFonts w:ascii="Google Sans Text" w:cs="Google Sans Text" w:eastAsia="Google Sans Text" w:hAnsi="Google Sans Text"/>
          <w:sz w:val="24"/>
          <w:szCs w:val="24"/>
          <w:vertAlign w:val="superscript"/>
          <w:rtl w:val="0"/>
        </w:rPr>
        <w:t xml:space="preserve">46</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E0">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6.2 Active Models (2024-2025)</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3">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6.2.1 Neuro-Bridge-X: Medical Diagnosis</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prime example of this integration is </w:t>
      </w:r>
      <w:r w:rsidDel="00000000" w:rsidR="00000000" w:rsidRPr="00000000">
        <w:rPr>
          <w:rFonts w:ascii="Google Sans Text" w:cs="Google Sans Text" w:eastAsia="Google Sans Text" w:hAnsi="Google Sans Text"/>
          <w:b w:val="1"/>
          <w:bCs w:val="1"/>
          <w:rtl w:val="0"/>
        </w:rPr>
        <w:t xml:space="preserve">Neuro-Bridge-X</w:t>
      </w:r>
      <w:r w:rsidDel="00000000" w:rsidR="00000000" w:rsidRPr="00000000">
        <w:rPr>
          <w:rFonts w:ascii="Google Sans Text" w:cs="Google Sans Text" w:eastAsia="Google Sans Text" w:hAnsi="Google Sans Text"/>
          <w:rtl w:val="0"/>
        </w:rPr>
        <w:t xml:space="preserve">, a 2025 research model for diagnosing Leukemia.</w:t>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Mechanism:</w:t>
      </w:r>
      <w:r w:rsidDel="00000000" w:rsidR="00000000" w:rsidRPr="00000000">
        <w:rPr>
          <w:rFonts w:ascii="Google Sans Text" w:cs="Google Sans Text" w:eastAsia="Google Sans Text" w:hAnsi="Google Sans Text"/>
          <w:rtl w:val="0"/>
        </w:rPr>
        <w:t xml:space="preserve"> It uses a hybrid architecture. A </w:t>
      </w:r>
      <w:r w:rsidDel="00000000" w:rsidR="00000000" w:rsidRPr="00000000">
        <w:rPr>
          <w:rFonts w:ascii="Google Sans Text" w:cs="Google Sans Text" w:eastAsia="Google Sans Text" w:hAnsi="Google Sans Text"/>
          <w:b w:val="1"/>
          <w:bCs w:val="1"/>
          <w:rtl w:val="0"/>
        </w:rPr>
        <w:t xml:space="preserve">Convolutional Neural Network (CNN)</w:t>
      </w:r>
      <w:r w:rsidDel="00000000" w:rsidR="00000000" w:rsidRPr="00000000">
        <w:rPr>
          <w:rFonts w:ascii="Google Sans Text" w:cs="Google Sans Text" w:eastAsia="Google Sans Text" w:hAnsi="Google Sans Text"/>
          <w:rtl w:val="0"/>
        </w:rPr>
        <w:t xml:space="preserve"> acts as the perceptual engine, extracting features from blood smear images. A </w:t>
      </w:r>
      <w:r w:rsidDel="00000000" w:rsidR="00000000" w:rsidRPr="00000000">
        <w:rPr>
          <w:rFonts w:ascii="Google Sans Text" w:cs="Google Sans Text" w:eastAsia="Google Sans Text" w:hAnsi="Google Sans Text"/>
          <w:b w:val="1"/>
          <w:bCs w:val="1"/>
          <w:rtl w:val="0"/>
        </w:rPr>
        <w:t xml:space="preserve">Fuzzy Logic</w:t>
      </w:r>
      <w:r w:rsidDel="00000000" w:rsidR="00000000" w:rsidRPr="00000000">
        <w:rPr>
          <w:rFonts w:ascii="Google Sans Text" w:cs="Google Sans Text" w:eastAsia="Google Sans Text" w:hAnsi="Google Sans Text"/>
          <w:rtl w:val="0"/>
        </w:rPr>
        <w:t xml:space="preserve"> module (the symbolic component) then processes these features based on clinical rules to render a diagnosis.</w:t>
      </w:r>
      <w:r w:rsidDel="00000000" w:rsidR="00000000" w:rsidRPr="00000000">
        <w:rPr>
          <w:rFonts w:ascii="Google Sans Text" w:cs="Google Sans Text" w:eastAsia="Google Sans Text" w:hAnsi="Google Sans Text"/>
          <w:sz w:val="24"/>
          <w:szCs w:val="24"/>
          <w:vertAlign w:val="superscript"/>
          <w:rtl w:val="0"/>
        </w:rPr>
        <w:t xml:space="preserve">48</w:t>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Symbolic Notation:</w:t>
      </w:r>
      <w:r w:rsidDel="00000000" w:rsidR="00000000" w:rsidRPr="00000000">
        <w:rPr>
          <w:rFonts w:ascii="Google Sans Text" w:cs="Google Sans Text" w:eastAsia="Google Sans Text" w:hAnsi="Google Sans Text"/>
          <w:rtl w:val="0"/>
        </w:rPr>
        <w:t xml:space="preserve"> The "symbolic" aspect here is the set of clinical rules encoded in the fuzzy logic system. This ensures that the diagnosis is not just a statistical guess but is "grounded" in medical theory.</w:t>
      </w:r>
    </w:p>
    <w:p w:rsidR="00000000" w:rsidDel="00000000" w:rsidP="00000000" w:rsidRDefault="00000000" w:rsidRPr="00000000" w14:paraId="000000E8">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Optimizers:</w:t>
      </w:r>
      <w:r w:rsidDel="00000000" w:rsidR="00000000" w:rsidRPr="00000000">
        <w:rPr>
          <w:rFonts w:ascii="Google Sans Text" w:cs="Google Sans Text" w:eastAsia="Google Sans Text" w:hAnsi="Google Sans Text"/>
          <w:rtl w:val="0"/>
        </w:rPr>
        <w:t xml:space="preserve"> The system utilizes advanced optimizers like </w:t>
      </w:r>
      <w:r w:rsidDel="00000000" w:rsidR="00000000" w:rsidRPr="00000000">
        <w:rPr>
          <w:rFonts w:ascii="Google Sans Text" w:cs="Google Sans Text" w:eastAsia="Google Sans Text" w:hAnsi="Google Sans Text"/>
          <w:b w:val="1"/>
          <w:bCs w:val="1"/>
          <w:rtl w:val="0"/>
        </w:rPr>
        <w:t xml:space="preserve">SGD</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Google Sans Text" w:cs="Google Sans Text" w:eastAsia="Google Sans Text" w:hAnsi="Google Sans Text"/>
          <w:b w:val="1"/>
          <w:bCs w:val="1"/>
          <w:rtl w:val="0"/>
        </w:rPr>
        <w:t xml:space="preserve">Fractional RAdam</w:t>
      </w:r>
      <w:r w:rsidDel="00000000" w:rsidR="00000000" w:rsidRPr="00000000">
        <w:rPr>
          <w:rFonts w:ascii="Google Sans Text" w:cs="Google Sans Text" w:eastAsia="Google Sans Text" w:hAnsi="Google Sans Text"/>
          <w:rtl w:val="0"/>
        </w:rPr>
        <w:t xml:space="preserve"> to train the neural components, achieving high accuracy while maintaining the interpretability of the symbolic layer. This fulfills the multidisciplinary requirement by merging </w:t>
      </w:r>
      <w:r w:rsidDel="00000000" w:rsidR="00000000" w:rsidRPr="00000000">
        <w:rPr>
          <w:rFonts w:ascii="Google Sans Text" w:cs="Google Sans Text" w:eastAsia="Google Sans Text" w:hAnsi="Google Sans Text"/>
          <w:b w:val="1"/>
          <w:bCs w:val="1"/>
          <w:rtl w:val="0"/>
        </w:rPr>
        <w:t xml:space="preserve">pathology</w:t>
      </w:r>
      <w:r w:rsidDel="00000000" w:rsidR="00000000" w:rsidRPr="00000000">
        <w:rPr>
          <w:rFonts w:ascii="Google Sans Text" w:cs="Google Sans Text" w:eastAsia="Google Sans Text" w:hAnsi="Google Sans Text"/>
          <w:rtl w:val="0"/>
        </w:rPr>
        <w:t xml:space="preserve"> (domain knowledge) with </w:t>
      </w:r>
      <w:r w:rsidDel="00000000" w:rsidR="00000000" w:rsidRPr="00000000">
        <w:rPr>
          <w:rFonts w:ascii="Google Sans Text" w:cs="Google Sans Text" w:eastAsia="Google Sans Text" w:hAnsi="Google Sans Text"/>
          <w:b w:val="1"/>
          <w:bCs w:val="1"/>
          <w:rtl w:val="0"/>
        </w:rPr>
        <w:t xml:space="preserve">computer vision</w:t>
      </w:r>
      <w:r w:rsidDel="00000000" w:rsidR="00000000" w:rsidRPr="00000000">
        <w:rPr>
          <w:rFonts w:ascii="Google Sans Text" w:cs="Google Sans Text" w:eastAsia="Google Sans Text" w:hAnsi="Google Sans Text"/>
          <w:rtl w:val="0"/>
        </w:rPr>
        <w:t xml:space="preserve"> (engineering) and </w:t>
      </w:r>
      <w:r w:rsidDel="00000000" w:rsidR="00000000" w:rsidRPr="00000000">
        <w:rPr>
          <w:rFonts w:ascii="Google Sans Text" w:cs="Google Sans Text" w:eastAsia="Google Sans Text" w:hAnsi="Google Sans Text"/>
          <w:b w:val="1"/>
          <w:bCs w:val="1"/>
          <w:rtl w:val="0"/>
        </w:rPr>
        <w:t xml:space="preserve">fuzzy logic</w:t>
      </w:r>
      <w:r w:rsidDel="00000000" w:rsidR="00000000" w:rsidRPr="00000000">
        <w:rPr>
          <w:rFonts w:ascii="Google Sans Text" w:cs="Google Sans Text" w:eastAsia="Google Sans Text" w:hAnsi="Google Sans Text"/>
          <w:rtl w:val="0"/>
        </w:rPr>
        <w:t xml:space="preserve"> (mathematics).</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EA">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6.2.2 Tensor Product Representations (TPRs)</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At a more fundamental architectural level, researchers are using </w:t>
      </w:r>
      <w:r w:rsidDel="00000000" w:rsidR="00000000" w:rsidRPr="00000000">
        <w:rPr>
          <w:rFonts w:ascii="Google Sans Text" w:cs="Google Sans Text" w:eastAsia="Google Sans Text" w:hAnsi="Google Sans Text"/>
          <w:b w:val="1"/>
          <w:bCs w:val="1"/>
          <w:rtl w:val="0"/>
        </w:rPr>
        <w:t xml:space="preserve">Tensor Product Representations (TPRs)</w:t>
      </w:r>
      <w:r w:rsidDel="00000000" w:rsidR="00000000" w:rsidRPr="00000000">
        <w:rPr>
          <w:rFonts w:ascii="Google Sans Text" w:cs="Google Sans Text" w:eastAsia="Google Sans Text" w:hAnsi="Google Sans Text"/>
          <w:rtl w:val="0"/>
        </w:rPr>
        <w:t xml:space="preserve"> to encode symbolic structures (trees, graphs) into the vector spaces of neural networks.</w:t>
      </w:r>
      <w:r w:rsidDel="00000000" w:rsidR="00000000" w:rsidRPr="00000000">
        <w:rPr>
          <w:rFonts w:ascii="Google Sans Text" w:cs="Google Sans Text" w:eastAsia="Google Sans Text" w:hAnsi="Google Sans Text"/>
          <w:sz w:val="24"/>
          <w:szCs w:val="24"/>
          <w:vertAlign w:val="superscript"/>
          <w:rtl w:val="0"/>
        </w:rPr>
        <w:t xml:space="preserve">46</w:t>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Function:</w:t>
      </w:r>
      <w:r w:rsidDel="00000000" w:rsidR="00000000" w:rsidRPr="00000000">
        <w:rPr>
          <w:rFonts w:ascii="Google Sans Text" w:cs="Google Sans Text" w:eastAsia="Google Sans Text" w:hAnsi="Google Sans Text"/>
          <w:rtl w:val="0"/>
        </w:rPr>
        <w:t xml:space="preserve"> This allows a neural network to manipulate symbols </w:t>
      </w:r>
      <w:r w:rsidDel="00000000" w:rsidR="00000000" w:rsidRPr="00000000">
        <w:rPr>
          <w:rFonts w:ascii="Google Sans Text" w:cs="Google Sans Text" w:eastAsia="Google Sans Text" w:hAnsi="Google Sans Text"/>
          <w:i w:val="1"/>
          <w:iCs w:val="1"/>
          <w:rtl w:val="0"/>
        </w:rPr>
        <w:t xml:space="preserve">as</w:t>
      </w:r>
      <w:r w:rsidDel="00000000" w:rsidR="00000000" w:rsidRPr="00000000">
        <w:rPr>
          <w:rFonts w:ascii="Google Sans Text" w:cs="Google Sans Text" w:eastAsia="Google Sans Text" w:hAnsi="Google Sans Text"/>
          <w:rtl w:val="0"/>
        </w:rPr>
        <w:t xml:space="preserve"> symbols, rather than just as patterns. It enables "Graph-based Symbolically Synthesized Neural Networks (G-SSNNs)," which can reason over graph structures (like chemical molecules or social networks) with the flexibility of a neural net but the structural awareness of a graph algorithm.</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EF">
      <w:pPr>
        <w:pStyle w:val="Heading4"/>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6.2.3 Language Agents as Symbolic Controllers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rapidly adopting trend in 2025 is the use of LLMs as "controllers" for symbolic tools, effectively creating </w:t>
      </w:r>
      <w:r w:rsidDel="00000000" w:rsidR="00000000" w:rsidRPr="00000000">
        <w:rPr>
          <w:rFonts w:ascii="Google Sans Text" w:cs="Google Sans Text" w:eastAsia="Google Sans Text" w:hAnsi="Google Sans Text"/>
          <w:b w:val="1"/>
          <w:bCs w:val="1"/>
          <w:rtl w:val="0"/>
        </w:rPr>
        <w:t xml:space="preserve">Language Agents</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Concept:</w:t>
      </w:r>
      <w:r w:rsidDel="00000000" w:rsidR="00000000" w:rsidRPr="00000000">
        <w:rPr>
          <w:rFonts w:ascii="Google Sans Text" w:cs="Google Sans Text" w:eastAsia="Google Sans Text" w:hAnsi="Google Sans Text"/>
          <w:rtl w:val="0"/>
        </w:rPr>
        <w:t xml:space="preserve"> Instead of asking an LLM to solve a math problem (where it might hallucinate), the system asks the LLM to write a Python script or a SQL query (a symbolic notation) to solve the problem. The LLM acts as the translator from natural language to symbolic code, and the code is executed by a deterministic solver.</w:t>
      </w:r>
      <w:r w:rsidDel="00000000" w:rsidR="00000000" w:rsidRPr="00000000">
        <w:rPr>
          <w:rFonts w:ascii="Google Sans Text" w:cs="Google Sans Text" w:eastAsia="Google Sans Text" w:hAnsi="Google Sans Text"/>
          <w:sz w:val="24"/>
          <w:szCs w:val="24"/>
          <w:vertAlign w:val="superscript"/>
          <w:rtl w:val="0"/>
        </w:rPr>
        <w:t xml:space="preserve">49</w:t>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Active Use:</w:t>
      </w:r>
      <w:r w:rsidDel="00000000" w:rsidR="00000000" w:rsidRPr="00000000">
        <w:rPr>
          <w:rFonts w:ascii="Google Sans Text" w:cs="Google Sans Text" w:eastAsia="Google Sans Text" w:hAnsi="Google Sans Text"/>
          <w:rtl w:val="0"/>
        </w:rPr>
        <w:t xml:space="preserve"> Systems like </w:t>
      </w:r>
      <w:r w:rsidDel="00000000" w:rsidR="00000000" w:rsidRPr="00000000">
        <w:rPr>
          <w:rFonts w:ascii="Google Sans Text" w:cs="Google Sans Text" w:eastAsia="Google Sans Text" w:hAnsi="Google Sans Text"/>
          <w:b w:val="1"/>
          <w:bCs w:val="1"/>
          <w:rtl w:val="0"/>
        </w:rPr>
        <w:t xml:space="preserve">Reflexion</w:t>
      </w:r>
      <w:r w:rsidDel="00000000" w:rsidR="00000000" w:rsidRPr="00000000">
        <w:rPr>
          <w:rFonts w:ascii="Google Sans Text" w:cs="Google Sans Text" w:eastAsia="Google Sans Text" w:hAnsi="Google Sans Text"/>
          <w:rtl w:val="0"/>
        </w:rPr>
        <w:t xml:space="preserve"> allow agents to "reason" by generating symbolic plans, executing them, observing the output, and self-correcting. This closes the loop between the "Sign" (the plan), the "Object" (the simulation result), and the "Interpretant" (the revised plan), creating a true semiotic learning loop.</w:t>
      </w:r>
      <w:r w:rsidDel="00000000" w:rsidR="00000000" w:rsidRPr="00000000">
        <w:rPr>
          <w:rFonts w:ascii="Google Sans Text" w:cs="Google Sans Text" w:eastAsia="Google Sans Text" w:hAnsi="Google Sans Text"/>
          <w:sz w:val="24"/>
          <w:szCs w:val="24"/>
          <w:vertAlign w:val="superscript"/>
          <w:rtl w:val="0"/>
        </w:rPr>
        <w:t xml:space="preserve">50</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F5">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 Comparative Synthesis and Future Implications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F8">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7.1 Comparative Analysis of Models</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following table synthesizes the key models discussed, highlighting their relationship to GoodReason's core attributes: multidisciplinary scope, symbolic notation, and active usage status.</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F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Table 2: Synthesis of Analogous Models</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Model Ecosystem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Core Discipline Origin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Symbolic Notation Type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Active Use Context (2024-2025)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Multidisciplinary Mechanism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Ologs / CQL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Category Theory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Categorical Diagrams (Boxes/Arrows)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Conexus AI</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b w:val="1"/>
                <w:bCs w:val="1"/>
                <w:rtl w:val="0"/>
              </w:rPr>
              <w:t xml:space="preserve">Gov. Data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Functorial mapping between disparate domains (e.g., protein structure $\leftrightarrow$ music).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Dragon / Hydra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Computer Science / Algebra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Algebraic Schema Definitions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Uber</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b w:val="1"/>
                <w:bCs w:val="1"/>
                <w:rtl w:val="0"/>
              </w:rPr>
              <w:t xml:space="preserve">Microsoft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Algebraic inter-lingua translating between SQL, Avro, and Graph data schemas.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AlgebraicJulia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Applied Mathematics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Wiring / String Diagrams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Scientific Computing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Composing models from different scientific fields (Physics + Epidemiology) via category theory.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Object-Process Methodology (OPM)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Systems Engineering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Object-Process Diagrams (OPD)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ISO 19450</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b w:val="1"/>
                <w:bCs w:val="1"/>
                <w:rtl w:val="0"/>
              </w:rPr>
              <w:t xml:space="preserve">OPCloud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Unified ontology of "Things" and "Happenings" valid across all engineering domains.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Knowledge Graphs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Semantic Web / Logic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Graph Nodes &amp; Edges (RDF/OWL)</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Google</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b w:val="1"/>
                <w:bCs w:val="1"/>
                <w:rtl w:val="0"/>
              </w:rPr>
              <w:t xml:space="preserve">Esri</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b w:val="1"/>
                <w:bCs w:val="1"/>
                <w:rtl w:val="0"/>
              </w:rPr>
              <w:t xml:space="preserve">Knowing®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Semantic linking of heterogeneous data entities through defined relationships.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Neuro-Symbolic AI</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AI Research</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Hybrid (Vectors + Logic Rules)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Medical Diagnosis (Neuro-Bridge-X)</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Embedding symbolic logic rules into neural network learning processes for interpretability.</w:t>
            </w:r>
          </w:p>
        </w:tc>
      </w:tr>
    </w:tbl>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before="48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12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7.2 The Convergence toward "Executable Specifications"</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analysis identifies a clear and powerful trend: the most successful "similar models" to GoodReason are those that have successfully bridged the gap between </w:t>
      </w:r>
      <w:r w:rsidDel="00000000" w:rsidR="00000000" w:rsidRPr="00000000">
        <w:rPr>
          <w:rFonts w:ascii="Google Sans Text" w:cs="Google Sans Text" w:eastAsia="Google Sans Text" w:hAnsi="Google Sans Text"/>
          <w:i w:val="1"/>
          <w:iCs w:val="1"/>
          <w:rtl w:val="0"/>
        </w:rPr>
        <w:t xml:space="preserve">conceptual drawing</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Google Sans Text" w:cs="Google Sans Text" w:eastAsia="Google Sans Text" w:hAnsi="Google Sans Text"/>
          <w:i w:val="1"/>
          <w:iCs w:val="1"/>
          <w:rtl w:val="0"/>
        </w:rPr>
        <w:t xml:space="preserve">executable code</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125">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Formalism is Key:</w:t>
      </w:r>
      <w:r w:rsidDel="00000000" w:rsidR="00000000" w:rsidRPr="00000000">
        <w:rPr>
          <w:rFonts w:ascii="Google Sans Text" w:cs="Google Sans Text" w:eastAsia="Google Sans Text" w:hAnsi="Google Sans Text"/>
          <w:rtl w:val="0"/>
        </w:rPr>
        <w:t xml:space="preserve"> Merely having a "multidisciplinary approach" is insufficient. The models that survive and thrive (OPM, Ologs, APGs) differ from simple flowcharting tools because they are backed by rigorous mathematics (Category Theory) or standardized ontologies (ISO 19450). This rigor is what allows them to be "used somewhere" in critical industrial applications like aerospace and government data integration.</w:t>
      </w:r>
    </w:p>
    <w:p w:rsidR="00000000" w:rsidDel="00000000" w:rsidP="00000000" w:rsidRDefault="00000000" w:rsidRPr="00000000" w14:paraId="00000126">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The Rise of the Graph:</w:t>
      </w:r>
      <w:r w:rsidDel="00000000" w:rsidR="00000000" w:rsidRPr="00000000">
        <w:rPr>
          <w:rFonts w:ascii="Google Sans Text" w:cs="Google Sans Text" w:eastAsia="Google Sans Text" w:hAnsi="Google Sans Text"/>
          <w:rtl w:val="0"/>
        </w:rPr>
        <w:t xml:space="preserve"> Whether it is an Algebraic Property Graph, a Knowledge Graph, or a Conceptual Graph, the </w:t>
      </w:r>
      <w:r w:rsidDel="00000000" w:rsidR="00000000" w:rsidRPr="00000000">
        <w:rPr>
          <w:rFonts w:ascii="Google Sans Text" w:cs="Google Sans Text" w:eastAsia="Google Sans Text" w:hAnsi="Google Sans Text"/>
          <w:i w:val="1"/>
          <w:iCs w:val="1"/>
          <w:rtl w:val="0"/>
        </w:rPr>
        <w:t xml:space="preserve">graph</w:t>
      </w:r>
      <w:r w:rsidDel="00000000" w:rsidR="00000000" w:rsidRPr="00000000">
        <w:rPr>
          <w:rFonts w:ascii="Google Sans Text" w:cs="Google Sans Text" w:eastAsia="Google Sans Text" w:hAnsi="Google Sans Text"/>
          <w:rtl w:val="0"/>
        </w:rPr>
        <w:t xml:space="preserve"> has emerged as the dominant symbolic notation for multidisciplinary work. It is flexible enough to model relationships in any domain but structured enough to support computation.</w:t>
      </w:r>
    </w:p>
    <w:p w:rsidR="00000000" w:rsidDel="00000000" w:rsidP="00000000" w:rsidRDefault="00000000" w:rsidRPr="00000000" w14:paraId="00000127">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bCs w:val="1"/>
          <w:rtl w:val="0"/>
        </w:rPr>
        <w:t xml:space="preserve">Interpretability vs. Power:</w:t>
      </w:r>
      <w:r w:rsidDel="00000000" w:rsidR="00000000" w:rsidRPr="00000000">
        <w:rPr>
          <w:rFonts w:ascii="Google Sans Text" w:cs="Google Sans Text" w:eastAsia="Google Sans Text" w:hAnsi="Google Sans Text"/>
          <w:rtl w:val="0"/>
        </w:rPr>
        <w:t xml:space="preserve"> The Neuro-Symbolic trend highlights the limitations of pure Deep Learning. There is a renaissance of symbolic notation because high-stakes fields (medicine, aerospace, finance) require the "GoodReason"—the </w:t>
      </w:r>
      <w:r w:rsidDel="00000000" w:rsidR="00000000" w:rsidRPr="00000000">
        <w:rPr>
          <w:rFonts w:ascii="Google Sans Text" w:cs="Google Sans Text" w:eastAsia="Google Sans Text" w:hAnsi="Google Sans Text"/>
          <w:i w:val="1"/>
          <w:iCs w:val="1"/>
          <w:rtl w:val="0"/>
        </w:rPr>
        <w:t xml:space="preserve">why</w:t>
      </w:r>
      <w:r w:rsidDel="00000000" w:rsidR="00000000" w:rsidRPr="00000000">
        <w:rPr>
          <w:rFonts w:ascii="Google Sans Text" w:cs="Google Sans Text" w:eastAsia="Google Sans Text" w:hAnsi="Google Sans Text"/>
          <w:rtl w:val="0"/>
        </w:rPr>
        <w:t xml:space="preserve">—behind a decision. Only symbolic models can transparently provide this reasoning chain.</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12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7.3 Future Outlook: The Unified Systems Language</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Looking forward, the integration of these models suggests a future where the "GoodReason" ideal—a universal systems language—becomes a computational reality. We are moving toward environments where a scientist can draw a diagram (Olog/OPM), an AI agent can interpret that diagram to generate code (Hydra/AlgebraicJulia), and a Neuro-Symbolic system can execute that code while adhering to ethical or legal norms defined in a Knowledge Graph.</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"good reason" for adopting such models is no longer just philosophical satisfaction or pedagogical convenience.</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 It is an industrial necessity. In a world of interconnected, high-consequence systems, the ability to rigorously model the whole—theory and practice, object and process, sign and meaning—is the only way to manage the complexity we have created.</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12E">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Table 3: Citation Index</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Source ID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Context / Topic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51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Definition of Ologs and Category Theory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GoodReason model definition, metric units, and number systems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GoodReason semiotic triangle and systems language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Object-Process Methodology (OPM) core concepts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OPCloud tool, OPL generation, and simulation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Design Structure Matrix (DSM) and applications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Ologs as database schemas and commutative diagrams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Olog applications in science (Proteins/Music)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AlgebraicJulia, Catlab.jl, Decapodes, and wiring diagrams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Conexus AI and CQL active use in government/supply chain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Uber Dragon, APGs, and Hydra open source evolution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46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Neuro-Symbolic AI, TPRs, and Neuro-Bridge-X (Leukemia)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49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Language Agents and Reflexion architectures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42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Knowing® App and ArcGIS Knowledge features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Computational Semiotics and Systemic Functional Linguistics</w:t>
            </w:r>
          </w:p>
        </w:tc>
      </w:tr>
    </w:tbl>
    <w:p w:rsidR="00000000" w:rsidDel="00000000" w:rsidP="00000000" w:rsidRDefault="00000000" w:rsidRPr="00000000" w14:paraId="00000151">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Lähdeartikkelit</w:t>
      </w:r>
    </w:p>
    <w:p w:rsidR="00000000" w:rsidDel="00000000" w:rsidP="00000000" w:rsidRDefault="00000000" w:rsidRPr="00000000" w14:paraId="0000015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GoodReason-Systeemikieli - Metayliopisto: Johdonmukaisen ..., avattu marraskuuta 21, 2025, </w:t>
      </w:r>
      <w:hyperlink r:id="rId6">
        <w:r w:rsidDel="00000000" w:rsidR="00000000" w:rsidRPr="00000000">
          <w:rPr>
            <w:rFonts w:ascii="Google Sans" w:cs="Google Sans" w:eastAsia="Google Sans" w:hAnsi="Google Sans"/>
            <w:color w:val="0000ee"/>
            <w:sz w:val="24"/>
            <w:szCs w:val="24"/>
            <w:u w:val="single"/>
            <w:rtl w:val="0"/>
          </w:rPr>
          <w:t xml:space="preserve">https://metayliopisto.fi/goodreason-systeemikieli/</w:t>
        </w:r>
      </w:hyperlink>
      <w:r w:rsidDel="00000000" w:rsidR="00000000" w:rsidRPr="00000000">
        <w:rPr>
          <w:rtl w:val="0"/>
        </w:rPr>
      </w:r>
    </w:p>
    <w:p w:rsidR="00000000" w:rsidDel="00000000" w:rsidP="00000000" w:rsidRDefault="00000000" w:rsidRPr="00000000" w14:paraId="0000015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Successful experiences in teaching metric - NIST Technical Series Publications, avattu marraskuuta 21, 2025, </w:t>
      </w:r>
      <w:hyperlink r:id="rId7">
        <w:r w:rsidDel="00000000" w:rsidR="00000000" w:rsidRPr="00000000">
          <w:rPr>
            <w:rFonts w:ascii="Google Sans" w:cs="Google Sans" w:eastAsia="Google Sans" w:hAnsi="Google Sans"/>
            <w:color w:val="0000ee"/>
            <w:sz w:val="24"/>
            <w:szCs w:val="24"/>
            <w:u w:val="single"/>
            <w:rtl w:val="0"/>
          </w:rPr>
          <w:t xml:space="preserve">https://nvlpubs.nist.gov/nistpubs/Legacy/SP/nbsspecialpublication441.pdf</w:t>
        </w:r>
      </w:hyperlink>
      <w:r w:rsidDel="00000000" w:rsidR="00000000" w:rsidRPr="00000000">
        <w:rPr>
          <w:rtl w:val="0"/>
        </w:rPr>
      </w:r>
    </w:p>
    <w:p w:rsidR="00000000" w:rsidDel="00000000" w:rsidP="00000000" w:rsidRDefault="00000000" w:rsidRPr="00000000" w14:paraId="0000015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Category-Theoretic Formulation of the Model-Based Systems Architecting Cognitive-Computational Cycle - DSpace@MIT, avattu marraskuuta 21, 2025, </w:t>
      </w:r>
      <w:hyperlink r:id="rId8">
        <w:r w:rsidDel="00000000" w:rsidR="00000000" w:rsidRPr="00000000">
          <w:rPr>
            <w:rFonts w:ascii="Google Sans" w:cs="Google Sans" w:eastAsia="Google Sans" w:hAnsi="Google Sans"/>
            <w:color w:val="0000ee"/>
            <w:sz w:val="24"/>
            <w:szCs w:val="24"/>
            <w:u w:val="single"/>
            <w:rtl w:val="0"/>
          </w:rPr>
          <w:t xml:space="preserve">https://dspace.mit.edu/bitstream/handle/1721.1/131336/applsci-11-01945-v2.pdf?sequence=1&amp;isAllowed=y</w:t>
        </w:r>
      </w:hyperlink>
      <w:r w:rsidDel="00000000" w:rsidR="00000000" w:rsidRPr="00000000">
        <w:rPr>
          <w:rtl w:val="0"/>
        </w:rPr>
      </w:r>
    </w:p>
    <w:p w:rsidR="00000000" w:rsidDel="00000000" w:rsidP="00000000" w:rsidRDefault="00000000" w:rsidRPr="00000000" w14:paraId="0000015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Model-Based System Engineering | OPCloud | OPM, avattu marraskuuta 21, 2025, </w:t>
      </w:r>
      <w:hyperlink r:id="rId9">
        <w:r w:rsidDel="00000000" w:rsidR="00000000" w:rsidRPr="00000000">
          <w:rPr>
            <w:rFonts w:ascii="Google Sans" w:cs="Google Sans" w:eastAsia="Google Sans" w:hAnsi="Google Sans"/>
            <w:color w:val="0000ee"/>
            <w:sz w:val="24"/>
            <w:szCs w:val="24"/>
            <w:u w:val="single"/>
            <w:rtl w:val="0"/>
          </w:rPr>
          <w:t xml:space="preserve">https://www.opcloud.tech/</w:t>
        </w:r>
      </w:hyperlink>
      <w:r w:rsidDel="00000000" w:rsidR="00000000" w:rsidRPr="00000000">
        <w:rPr>
          <w:rtl w:val="0"/>
        </w:rPr>
      </w:r>
    </w:p>
    <w:p w:rsidR="00000000" w:rsidDel="00000000" w:rsidP="00000000" w:rsidRDefault="00000000" w:rsidRPr="00000000" w14:paraId="0000015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Conexus FAQ, avattu marraskuuta 21, 2025, </w:t>
      </w:r>
      <w:hyperlink r:id="rId10">
        <w:r w:rsidDel="00000000" w:rsidR="00000000" w:rsidRPr="00000000">
          <w:rPr>
            <w:rFonts w:ascii="Google Sans" w:cs="Google Sans" w:eastAsia="Google Sans" w:hAnsi="Google Sans"/>
            <w:color w:val="0000ee"/>
            <w:sz w:val="24"/>
            <w:szCs w:val="24"/>
            <w:u w:val="single"/>
            <w:rtl w:val="0"/>
          </w:rPr>
          <w:t xml:space="preserve">https://conexus.com/conexus-faq/</w:t>
        </w:r>
      </w:hyperlink>
      <w:r w:rsidDel="00000000" w:rsidR="00000000" w:rsidRPr="00000000">
        <w:rPr>
          <w:rtl w:val="0"/>
        </w:rPr>
      </w:r>
    </w:p>
    <w:p w:rsidR="00000000" w:rsidDel="00000000" w:rsidP="00000000" w:rsidRDefault="00000000" w:rsidRPr="00000000" w14:paraId="0000015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Semiotics - Wikipedia, avattu marraskuuta 21, 2025, </w:t>
      </w:r>
      <w:hyperlink r:id="rId11">
        <w:r w:rsidDel="00000000" w:rsidR="00000000" w:rsidRPr="00000000">
          <w:rPr>
            <w:rFonts w:ascii="Google Sans" w:cs="Google Sans" w:eastAsia="Google Sans" w:hAnsi="Google Sans"/>
            <w:color w:val="0000ee"/>
            <w:sz w:val="24"/>
            <w:szCs w:val="24"/>
            <w:u w:val="single"/>
            <w:rtl w:val="0"/>
          </w:rPr>
          <w:t xml:space="preserve">https://en.wikipedia.org/wiki/Semiotics</w:t>
        </w:r>
      </w:hyperlink>
      <w:r w:rsidDel="00000000" w:rsidR="00000000" w:rsidRPr="00000000">
        <w:rPr>
          <w:rtl w:val="0"/>
        </w:rPr>
      </w:r>
    </w:p>
    <w:p w:rsidR="00000000" w:rsidDel="00000000" w:rsidP="00000000" w:rsidRDefault="00000000" w:rsidRPr="00000000" w14:paraId="0000015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semiotics to semantic interoperability of companies in the digital world — Dr Nicolas Figay… - Medium, avattu marraskuuta 21, 2025, </w:t>
      </w:r>
      <w:hyperlink r:id="rId12">
        <w:r w:rsidDel="00000000" w:rsidR="00000000" w:rsidRPr="00000000">
          <w:rPr>
            <w:rFonts w:ascii="Google Sans" w:cs="Google Sans" w:eastAsia="Google Sans" w:hAnsi="Google Sans"/>
            <w:color w:val="0000ee"/>
            <w:sz w:val="24"/>
            <w:szCs w:val="24"/>
            <w:u w:val="single"/>
            <w:rtl w:val="0"/>
          </w:rPr>
          <w:t xml:space="preserve">https://medium.com/@nfigay/from-semiotics-to-semantic-interoperability-of-companies-in-the-digital-world-dr-nicolas-figay-c29278b2d41d</w:t>
        </w:r>
      </w:hyperlink>
      <w:r w:rsidDel="00000000" w:rsidR="00000000" w:rsidRPr="00000000">
        <w:rPr>
          <w:rtl w:val="0"/>
        </w:rPr>
      </w:r>
    </w:p>
    <w:p w:rsidR="00000000" w:rsidDel="00000000" w:rsidP="00000000" w:rsidRDefault="00000000" w:rsidRPr="00000000" w14:paraId="0000015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Developing an Integrative Semiotic Framework for Information Systems: The Social, Personal and Material Worlds, avattu marraskuuta 21, 2025, </w:t>
      </w:r>
      <w:hyperlink r:id="rId13">
        <w:r w:rsidDel="00000000" w:rsidR="00000000" w:rsidRPr="00000000">
          <w:rPr>
            <w:rFonts w:ascii="Google Sans" w:cs="Google Sans" w:eastAsia="Google Sans" w:hAnsi="Google Sans"/>
            <w:color w:val="0000ee"/>
            <w:sz w:val="24"/>
            <w:szCs w:val="24"/>
            <w:u w:val="single"/>
            <w:rtl w:val="0"/>
          </w:rPr>
          <w:t xml:space="preserve">https://kar.kent.ac.uk/id/document/29705</w:t>
        </w:r>
      </w:hyperlink>
      <w:r w:rsidDel="00000000" w:rsidR="00000000" w:rsidRPr="00000000">
        <w:rPr>
          <w:rtl w:val="0"/>
        </w:rPr>
      </w:r>
    </w:p>
    <w:p w:rsidR="00000000" w:rsidDel="00000000" w:rsidP="00000000" w:rsidRDefault="00000000" w:rsidRPr="00000000" w14:paraId="0000015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BLOOMSBURY SEMIOTICS - Martin Irvine, avattu marraskuuta 21, 2025, </w:t>
      </w:r>
      <w:hyperlink r:id="rId14">
        <w:r w:rsidDel="00000000" w:rsidR="00000000" w:rsidRPr="00000000">
          <w:rPr>
            <w:rFonts w:ascii="Google Sans" w:cs="Google Sans" w:eastAsia="Google Sans" w:hAnsi="Google Sans"/>
            <w:color w:val="0000ee"/>
            <w:sz w:val="24"/>
            <w:szCs w:val="24"/>
            <w:u w:val="single"/>
            <w:rtl w:val="0"/>
          </w:rPr>
          <w:t xml:space="preserve">https://irvine.georgetown.domains/articles/Irvine-Semiotics%20in%20Computation%20and%20Information%20Systems-Bloomsbury%20Semiotics-v2-finalproofs.pdf</w:t>
        </w:r>
      </w:hyperlink>
      <w:r w:rsidDel="00000000" w:rsidR="00000000" w:rsidRPr="00000000">
        <w:rPr>
          <w:rtl w:val="0"/>
        </w:rPr>
      </w:r>
    </w:p>
    <w:p w:rsidR="00000000" w:rsidDel="00000000" w:rsidP="00000000" w:rsidRDefault="00000000" w:rsidRPr="00000000" w14:paraId="0000015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AI-AI Esthetic Collaboration with Explicit Semiotic Awareness and Emergent Grammar Development - arXiv, avattu marraskuuta 21, 2025, </w:t>
      </w:r>
      <w:hyperlink r:id="rId15">
        <w:r w:rsidDel="00000000" w:rsidR="00000000" w:rsidRPr="00000000">
          <w:rPr>
            <w:rFonts w:ascii="Google Sans" w:cs="Google Sans" w:eastAsia="Google Sans" w:hAnsi="Google Sans"/>
            <w:color w:val="0000ee"/>
            <w:sz w:val="24"/>
            <w:szCs w:val="24"/>
            <w:u w:val="single"/>
            <w:rtl w:val="0"/>
          </w:rPr>
          <w:t xml:space="preserve">https://arxiv.org/pdf/2508.20195</w:t>
        </w:r>
      </w:hyperlink>
      <w:r w:rsidDel="00000000" w:rsidR="00000000" w:rsidRPr="00000000">
        <w:rPr>
          <w:rtl w:val="0"/>
        </w:rPr>
      </w:r>
    </w:p>
    <w:p w:rsidR="00000000" w:rsidDel="00000000" w:rsidP="00000000" w:rsidRDefault="00000000" w:rsidRPr="00000000" w14:paraId="0000015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information system in its organisational contexts: a systemic semiotic longitudinal case study | Request PDF - ResearchGate, avattu marraskuuta 21, 2025, </w:t>
      </w:r>
      <w:hyperlink r:id="rId16">
        <w:r w:rsidDel="00000000" w:rsidR="00000000" w:rsidRPr="00000000">
          <w:rPr>
            <w:rFonts w:ascii="Google Sans" w:cs="Google Sans" w:eastAsia="Google Sans" w:hAnsi="Google Sans"/>
            <w:color w:val="0000ee"/>
            <w:sz w:val="24"/>
            <w:szCs w:val="24"/>
            <w:u w:val="single"/>
            <w:rtl w:val="0"/>
          </w:rPr>
          <w:t xml:space="preserve">https://www.researchgate.net/publication/38449594_An_information_system_in_its_organisational_contexts_a_systemic_semiotic_longitudinal_case_study</w:t>
        </w:r>
      </w:hyperlink>
      <w:r w:rsidDel="00000000" w:rsidR="00000000" w:rsidRPr="00000000">
        <w:rPr>
          <w:rtl w:val="0"/>
        </w:rPr>
      </w:r>
    </w:p>
    <w:p w:rsidR="00000000" w:rsidDel="00000000" w:rsidP="00000000" w:rsidRDefault="00000000" w:rsidRPr="00000000" w14:paraId="0000015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Systems resemblance and workpractice evolution: implications for work activity (re)design, avattu marraskuuta 21, 2025, </w:t>
      </w:r>
      <w:hyperlink r:id="rId17">
        <w:r w:rsidDel="00000000" w:rsidR="00000000" w:rsidRPr="00000000">
          <w:rPr>
            <w:rFonts w:ascii="Google Sans" w:cs="Google Sans" w:eastAsia="Google Sans" w:hAnsi="Google Sans"/>
            <w:color w:val="0000ee"/>
            <w:sz w:val="24"/>
            <w:szCs w:val="24"/>
            <w:u w:val="single"/>
            <w:rtl w:val="0"/>
          </w:rPr>
          <w:t xml:space="preserve">https://ro.uow.edu.au/ndownloader/files/50564043</w:t>
        </w:r>
      </w:hyperlink>
      <w:r w:rsidDel="00000000" w:rsidR="00000000" w:rsidRPr="00000000">
        <w:rPr>
          <w:rtl w:val="0"/>
        </w:rPr>
      </w:r>
    </w:p>
    <w:p w:rsidR="00000000" w:rsidDel="00000000" w:rsidP="00000000" w:rsidRDefault="00000000" w:rsidRPr="00000000" w14:paraId="0000015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Modeling Knowledge with Object-Process Methodology | Dov Dori, avattu marraskuuta 21, 2025, </w:t>
      </w:r>
      <w:hyperlink r:id="rId18">
        <w:r w:rsidDel="00000000" w:rsidR="00000000" w:rsidRPr="00000000">
          <w:rPr>
            <w:rFonts w:ascii="Google Sans" w:cs="Google Sans" w:eastAsia="Google Sans" w:hAnsi="Google Sans"/>
            <w:color w:val="0000ee"/>
            <w:sz w:val="24"/>
            <w:szCs w:val="24"/>
            <w:u w:val="single"/>
            <w:rtl w:val="0"/>
          </w:rPr>
          <w:t xml:space="preserve">https://dovdori.technion.ac.il/wp-content/uploads/2022/05/Modeling-Knowledge-with-Object-Process-Methodology.pdf</w:t>
        </w:r>
      </w:hyperlink>
      <w:r w:rsidDel="00000000" w:rsidR="00000000" w:rsidRPr="00000000">
        <w:rPr>
          <w:rtl w:val="0"/>
        </w:rPr>
      </w:r>
    </w:p>
    <w:p w:rsidR="00000000" w:rsidDel="00000000" w:rsidP="00000000" w:rsidRDefault="00000000" w:rsidRPr="00000000" w14:paraId="0000015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Systems Engineering Using Category Theory - ResearchGate, avattu marraskuuta 21, 2025, </w:t>
      </w:r>
      <w:hyperlink r:id="rId19">
        <w:r w:rsidDel="00000000" w:rsidR="00000000" w:rsidRPr="00000000">
          <w:rPr>
            <w:rFonts w:ascii="Google Sans" w:cs="Google Sans" w:eastAsia="Google Sans" w:hAnsi="Google Sans"/>
            <w:color w:val="0000ee"/>
            <w:sz w:val="24"/>
            <w:szCs w:val="24"/>
            <w:u w:val="single"/>
            <w:rtl w:val="0"/>
          </w:rPr>
          <w:t xml:space="preserve">https://www.researchgate.net/publication/377591184_Systems_Engineering_Using_Category_Theory</w:t>
        </w:r>
      </w:hyperlink>
      <w:r w:rsidDel="00000000" w:rsidR="00000000" w:rsidRPr="00000000">
        <w:rPr>
          <w:rtl w:val="0"/>
        </w:rPr>
      </w:r>
    </w:p>
    <w:p w:rsidR="00000000" w:rsidDel="00000000" w:rsidP="00000000" w:rsidRDefault="00000000" w:rsidRPr="00000000" w14:paraId="0000016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Ologs: A Categorical Framework for Knowledge Representation | PLOS One, avattu marraskuuta 21, 2025, </w:t>
      </w:r>
      <w:hyperlink r:id="rId20">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https://journals.plos.org/plosone/article?id=10.1371/journal.pone.0024274</w:t>
        </w:r>
      </w:hyperlink>
      <w:r w:rsidDel="00000000" w:rsidR="00000000" w:rsidRPr="00000000">
        <w:rPr>
          <w:rtl w:val="0"/>
        </w:rPr>
      </w:r>
    </w:p>
    <w:p w:rsidR="00000000" w:rsidDel="00000000" w:rsidP="00000000" w:rsidRDefault="00000000" w:rsidRPr="00000000" w14:paraId="0000016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Ologs: A Categorical Framework for Knowledge Representation - PMC - PubMed Central, avattu marraskuuta 21,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https://pmc.ncbi.nlm.nih.gov/articles/PMC3269434/</w:t>
        </w:r>
      </w:hyperlink>
      <w:r w:rsidDel="00000000" w:rsidR="00000000" w:rsidRPr="00000000">
        <w:rPr>
          <w:rtl w:val="0"/>
        </w:rPr>
      </w:r>
    </w:p>
    <w:p w:rsidR="00000000" w:rsidDel="00000000" w:rsidP="00000000" w:rsidRDefault="00000000" w:rsidRPr="00000000" w14:paraId="0000016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Using Category Theory to Facilitate Multiple Manufacturing Service Database Integration - ResearchGate, avattu marraskuuta 21, 2025, </w:t>
      </w:r>
      <w:hyperlink r:id="rId22">
        <w:r w:rsidDel="00000000" w:rsidR="00000000" w:rsidRPr="00000000">
          <w:rPr>
            <w:rFonts w:ascii="Google Sans" w:cs="Google Sans" w:eastAsia="Google Sans" w:hAnsi="Google Sans"/>
            <w:color w:val="0000ee"/>
            <w:sz w:val="24"/>
            <w:szCs w:val="24"/>
            <w:u w:val="single"/>
            <w:rtl w:val="0"/>
          </w:rPr>
          <w:t xml:space="preserve">https://www.researchgate.net/publication/305645639_Using_Category_Theory_to_Facilitate_Multiple_Manufacturing_Service_Database_Integration</w:t>
        </w:r>
      </w:hyperlink>
      <w:r w:rsidDel="00000000" w:rsidR="00000000" w:rsidRPr="00000000">
        <w:rPr>
          <w:rtl w:val="0"/>
        </w:rPr>
      </w:r>
    </w:p>
    <w:p w:rsidR="00000000" w:rsidDel="00000000" w:rsidP="00000000" w:rsidRDefault="00000000" w:rsidRPr="00000000" w14:paraId="0000016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Post-COVID Supply Chain: Achieving Both Agility and Performance via AI - Conexus, avattu marraskuuta 21, 2025, </w:t>
      </w:r>
      <w:hyperlink r:id="rId23">
        <w:r w:rsidDel="00000000" w:rsidR="00000000" w:rsidRPr="00000000">
          <w:rPr>
            <w:rFonts w:ascii="Google Sans" w:cs="Google Sans" w:eastAsia="Google Sans" w:hAnsi="Google Sans"/>
            <w:color w:val="0000ee"/>
            <w:sz w:val="24"/>
            <w:szCs w:val="24"/>
            <w:u w:val="single"/>
            <w:rtl w:val="0"/>
          </w:rPr>
          <w:t xml:space="preserve">https://conexus.com/the-post-covid-supply-chain-achieving-both-agility-and-performance-via-ai/</w:t>
        </w:r>
      </w:hyperlink>
      <w:r w:rsidDel="00000000" w:rsidR="00000000" w:rsidRPr="00000000">
        <w:rPr>
          <w:rtl w:val="0"/>
        </w:rPr>
      </w:r>
    </w:p>
    <w:p w:rsidR="00000000" w:rsidDel="00000000" w:rsidP="00000000" w:rsidRDefault="00000000" w:rsidRPr="00000000" w14:paraId="0000016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Algebraic Property Graphs | alphaXiv, avattu marraskuuta 21, 2025, </w:t>
      </w:r>
      <w:hyperlink r:id="rId24">
        <w:r w:rsidDel="00000000" w:rsidR="00000000" w:rsidRPr="00000000">
          <w:rPr>
            <w:rFonts w:ascii="Google Sans" w:cs="Google Sans" w:eastAsia="Google Sans" w:hAnsi="Google Sans"/>
            <w:color w:val="0000ee"/>
            <w:sz w:val="24"/>
            <w:szCs w:val="24"/>
            <w:u w:val="single"/>
            <w:rtl w:val="0"/>
          </w:rPr>
          <w:t xml:space="preserve">https://www.alphaxiv.org/overview/1909.04881v3</w:t>
        </w:r>
      </w:hyperlink>
      <w:r w:rsidDel="00000000" w:rsidR="00000000" w:rsidRPr="00000000">
        <w:rPr>
          <w:rtl w:val="0"/>
        </w:rPr>
      </w:r>
    </w:p>
    <w:p w:rsidR="00000000" w:rsidDel="00000000" w:rsidP="00000000" w:rsidRDefault="00000000" w:rsidRPr="00000000" w14:paraId="0000016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Query Language for Graph Databases to Become International Standard | Hacker News, avattu marraskuuta 21, 2025, </w:t>
      </w:r>
      <w:hyperlink r:id="rId25">
        <w:r w:rsidDel="00000000" w:rsidR="00000000" w:rsidRPr="00000000">
          <w:rPr>
            <w:rFonts w:ascii="Google Sans" w:cs="Google Sans" w:eastAsia="Google Sans" w:hAnsi="Google Sans"/>
            <w:color w:val="0000ee"/>
            <w:sz w:val="24"/>
            <w:szCs w:val="24"/>
            <w:u w:val="single"/>
            <w:rtl w:val="0"/>
          </w:rPr>
          <w:t xml:space="preserve">https://news.ycombinator.com/item?id=21004115</w:t>
        </w:r>
      </w:hyperlink>
      <w:r w:rsidDel="00000000" w:rsidR="00000000" w:rsidRPr="00000000">
        <w:rPr>
          <w:rtl w:val="0"/>
        </w:rPr>
      </w:r>
    </w:p>
    <w:p w:rsidR="00000000" w:rsidDel="00000000" w:rsidP="00000000" w:rsidRDefault="00000000" w:rsidRPr="00000000" w14:paraId="0000016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Dragon and Hydra - Graph Programming and Executable Graphs (O3 2025) | PDF - Scribd, avattu marraskuuta 21, 2025, </w:t>
      </w:r>
      <w:hyperlink r:id="rId26">
        <w:r w:rsidDel="00000000" w:rsidR="00000000" w:rsidRPr="00000000">
          <w:rPr>
            <w:rFonts w:ascii="Google Sans" w:cs="Google Sans" w:eastAsia="Google Sans" w:hAnsi="Google Sans"/>
            <w:color w:val="0000ee"/>
            <w:sz w:val="24"/>
            <w:szCs w:val="24"/>
            <w:u w:val="single"/>
            <w:rtl w:val="0"/>
          </w:rPr>
          <w:t xml:space="preserve">https://www.scribd.com/document/915031454/Dragon-and-Hydra-Graph-Programming-and-Executable-Graphs-o3-2025</w:t>
        </w:r>
      </w:hyperlink>
      <w:r w:rsidDel="00000000" w:rsidR="00000000" w:rsidRPr="00000000">
        <w:rPr>
          <w:rtl w:val="0"/>
        </w:rPr>
      </w:r>
    </w:p>
    <w:p w:rsidR="00000000" w:rsidDel="00000000" w:rsidP="00000000" w:rsidRDefault="00000000" w:rsidRPr="00000000" w14:paraId="0000016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Data Day Texas 2022 Sessions, avattu marraskuuta 21, 2025, </w:t>
      </w:r>
      <w:hyperlink r:id="rId27">
        <w:r w:rsidDel="00000000" w:rsidR="00000000" w:rsidRPr="00000000">
          <w:rPr>
            <w:rFonts w:ascii="Google Sans" w:cs="Google Sans" w:eastAsia="Google Sans" w:hAnsi="Google Sans"/>
            <w:color w:val="0000ee"/>
            <w:sz w:val="24"/>
            <w:szCs w:val="24"/>
            <w:u w:val="single"/>
            <w:rtl w:val="0"/>
          </w:rPr>
          <w:t xml:space="preserve">https://datadaytexas.com/2022/sessions</w:t>
        </w:r>
      </w:hyperlink>
      <w:r w:rsidDel="00000000" w:rsidR="00000000" w:rsidRPr="00000000">
        <w:rPr>
          <w:rtl w:val="0"/>
        </w:rPr>
      </w:r>
    </w:p>
    <w:p w:rsidR="00000000" w:rsidDel="00000000" w:rsidP="00000000" w:rsidRDefault="00000000" w:rsidRPr="00000000" w14:paraId="0000016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Catlab.jl, avattu marraskuuta 21, 2025, </w:t>
      </w:r>
      <w:hyperlink r:id="rId28">
        <w:r w:rsidDel="00000000" w:rsidR="00000000" w:rsidRPr="00000000">
          <w:rPr>
            <w:rFonts w:ascii="Google Sans" w:cs="Google Sans" w:eastAsia="Google Sans" w:hAnsi="Google Sans"/>
            <w:color w:val="0000ee"/>
            <w:sz w:val="24"/>
            <w:szCs w:val="24"/>
            <w:u w:val="single"/>
            <w:rtl w:val="0"/>
          </w:rPr>
          <w:t xml:space="preserve">https://algebraicjulia.github.io/Catlab.jl/v0.5/</w:t>
        </w:r>
      </w:hyperlink>
      <w:r w:rsidDel="00000000" w:rsidR="00000000" w:rsidRPr="00000000">
        <w:rPr>
          <w:rtl w:val="0"/>
        </w:rPr>
      </w:r>
    </w:p>
    <w:p w:rsidR="00000000" w:rsidDel="00000000" w:rsidP="00000000" w:rsidRDefault="00000000" w:rsidRPr="00000000" w14:paraId="0000016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AlgebraicJulia, avattu marraskuuta 21, 2025, </w:t>
      </w:r>
      <w:hyperlink r:id="rId29">
        <w:r w:rsidDel="00000000" w:rsidR="00000000" w:rsidRPr="00000000">
          <w:rPr>
            <w:rFonts w:ascii="Google Sans" w:cs="Google Sans" w:eastAsia="Google Sans" w:hAnsi="Google Sans"/>
            <w:color w:val="0000ee"/>
            <w:sz w:val="24"/>
            <w:szCs w:val="24"/>
            <w:u w:val="single"/>
            <w:rtl w:val="0"/>
          </w:rPr>
          <w:t xml:space="preserve">https://www.algebraicjulia.org/</w:t>
        </w:r>
      </w:hyperlink>
      <w:r w:rsidDel="00000000" w:rsidR="00000000" w:rsidRPr="00000000">
        <w:rPr>
          <w:rtl w:val="0"/>
        </w:rPr>
      </w:r>
    </w:p>
    <w:p w:rsidR="00000000" w:rsidDel="00000000" w:rsidP="00000000" w:rsidRDefault="00000000" w:rsidRPr="00000000" w14:paraId="0000016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Categorical Framework for Modeling with Stock and Flow Diagrams - ar5iv - arXiv, avattu marraskuuta 21, 2025, </w:t>
      </w:r>
      <w:hyperlink r:id="rId30">
        <w:r w:rsidDel="00000000" w:rsidR="00000000" w:rsidRPr="00000000">
          <w:rPr>
            <w:rFonts w:ascii="Google Sans" w:cs="Google Sans" w:eastAsia="Google Sans" w:hAnsi="Google Sans"/>
            <w:color w:val="0000ee"/>
            <w:sz w:val="24"/>
            <w:szCs w:val="24"/>
            <w:u w:val="single"/>
            <w:rtl w:val="0"/>
          </w:rPr>
          <w:t xml:space="preserve">https://ar5iv.labs.arxiv.org/html/2211.01290</w:t>
        </w:r>
      </w:hyperlink>
      <w:r w:rsidDel="00000000" w:rsidR="00000000" w:rsidRPr="00000000">
        <w:rPr>
          <w:rtl w:val="0"/>
        </w:rPr>
      </w:r>
    </w:p>
    <w:p w:rsidR="00000000" w:rsidDel="00000000" w:rsidP="00000000" w:rsidRDefault="00000000" w:rsidRPr="00000000" w14:paraId="0000016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Object Process Methodology - Wikipedia, avattu marraskuuta 21, 2025, </w:t>
      </w:r>
      <w:hyperlink r:id="rId31">
        <w:r w:rsidDel="00000000" w:rsidR="00000000" w:rsidRPr="00000000">
          <w:rPr>
            <w:rFonts w:ascii="Google Sans" w:cs="Google Sans" w:eastAsia="Google Sans" w:hAnsi="Google Sans"/>
            <w:color w:val="0000ee"/>
            <w:sz w:val="24"/>
            <w:szCs w:val="24"/>
            <w:u w:val="single"/>
            <w:rtl w:val="0"/>
          </w:rPr>
          <w:t xml:space="preserve">https://en.wikipedia.org/wiki/Object_Process_Methodology</w:t>
        </w:r>
      </w:hyperlink>
      <w:r w:rsidDel="00000000" w:rsidR="00000000" w:rsidRPr="00000000">
        <w:rPr>
          <w:rtl w:val="0"/>
        </w:rPr>
      </w:r>
    </w:p>
    <w:p w:rsidR="00000000" w:rsidDel="00000000" w:rsidP="00000000" w:rsidRDefault="00000000" w:rsidRPr="00000000" w14:paraId="0000016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Object-Process Methodology and Its Applications For Complex, Real-Time Systems Modeling | PDF | Resource Description Framework - Scribd, avattu marraskuuta 21, 2025, </w:t>
      </w:r>
      <w:hyperlink r:id="rId32">
        <w:r w:rsidDel="00000000" w:rsidR="00000000" w:rsidRPr="00000000">
          <w:rPr>
            <w:rFonts w:ascii="Google Sans" w:cs="Google Sans" w:eastAsia="Google Sans" w:hAnsi="Google Sans"/>
            <w:color w:val="0000ee"/>
            <w:sz w:val="24"/>
            <w:szCs w:val="24"/>
            <w:u w:val="single"/>
            <w:rtl w:val="0"/>
          </w:rPr>
          <w:t xml:space="preserve">https://www.scribd.com/document/584872541/Dov-dori</w:t>
        </w:r>
      </w:hyperlink>
      <w:r w:rsidDel="00000000" w:rsidR="00000000" w:rsidRPr="00000000">
        <w:rPr>
          <w:rtl w:val="0"/>
        </w:rPr>
      </w:r>
    </w:p>
    <w:p w:rsidR="00000000" w:rsidDel="00000000" w:rsidP="00000000" w:rsidRDefault="00000000" w:rsidRPr="00000000" w14:paraId="0000016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Object-Process Methodology elements outline OPM Things - ResearchGate, avattu marraskuuta 21, 2025, </w:t>
      </w:r>
      <w:hyperlink r:id="rId33">
        <w:r w:rsidDel="00000000" w:rsidR="00000000" w:rsidRPr="00000000">
          <w:rPr>
            <w:rFonts w:ascii="Google Sans" w:cs="Google Sans" w:eastAsia="Google Sans" w:hAnsi="Google Sans"/>
            <w:color w:val="0000ee"/>
            <w:sz w:val="24"/>
            <w:szCs w:val="24"/>
            <w:u w:val="single"/>
            <w:rtl w:val="0"/>
          </w:rPr>
          <w:t xml:space="preserve">https://www.researchgate.net/figure/Object-Process-Methodology-elements-outline-OPM-Things-Stateful-Object-and-Process_tbl1_330199861</w:t>
        </w:r>
      </w:hyperlink>
      <w:r w:rsidDel="00000000" w:rsidR="00000000" w:rsidRPr="00000000">
        <w:rPr>
          <w:rtl w:val="0"/>
        </w:rPr>
      </w:r>
    </w:p>
    <w:p w:rsidR="00000000" w:rsidDel="00000000" w:rsidP="00000000" w:rsidRDefault="00000000" w:rsidRPr="00000000" w14:paraId="0000016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Model-Based System Engineering | OPCloud | OPM, avattu marraskuuta 21, 2025, </w:t>
      </w:r>
      <w:hyperlink r:id="rId34">
        <w:r w:rsidDel="00000000" w:rsidR="00000000" w:rsidRPr="00000000">
          <w:rPr>
            <w:rFonts w:ascii="Google Sans" w:cs="Google Sans" w:eastAsia="Google Sans" w:hAnsi="Google Sans"/>
            <w:color w:val="0000ee"/>
            <w:sz w:val="24"/>
            <w:szCs w:val="24"/>
            <w:u w:val="single"/>
            <w:rtl w:val="0"/>
          </w:rPr>
          <w:t xml:space="preserve">https://www.opcloud.tech/home</w:t>
        </w:r>
      </w:hyperlink>
      <w:r w:rsidDel="00000000" w:rsidR="00000000" w:rsidRPr="00000000">
        <w:rPr>
          <w:rtl w:val="0"/>
        </w:rPr>
      </w:r>
    </w:p>
    <w:p w:rsidR="00000000" w:rsidDel="00000000" w:rsidP="00000000" w:rsidRDefault="00000000" w:rsidRPr="00000000" w14:paraId="0000016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Features | OPCloud, avattu marraskuuta 21, 2025, </w:t>
      </w:r>
      <w:hyperlink r:id="rId35">
        <w:r w:rsidDel="00000000" w:rsidR="00000000" w:rsidRPr="00000000">
          <w:rPr>
            <w:rFonts w:ascii="Google Sans" w:cs="Google Sans" w:eastAsia="Google Sans" w:hAnsi="Google Sans"/>
            <w:color w:val="0000ee"/>
            <w:sz w:val="24"/>
            <w:szCs w:val="24"/>
            <w:u w:val="single"/>
            <w:rtl w:val="0"/>
          </w:rPr>
          <w:t xml:space="preserve">https://www.opcloud.tech/features</w:t>
        </w:r>
      </w:hyperlink>
      <w:r w:rsidDel="00000000" w:rsidR="00000000" w:rsidRPr="00000000">
        <w:rPr>
          <w:rtl w:val="0"/>
        </w:rPr>
      </w:r>
    </w:p>
    <w:p w:rsidR="00000000" w:rsidDel="00000000" w:rsidP="00000000" w:rsidRDefault="00000000" w:rsidRPr="00000000" w14:paraId="0000017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DSM (Dependency/Design Structure Matrix) - WordPress.com, avattu marraskuuta 21, 2025, </w:t>
      </w:r>
      <w:hyperlink r:id="rId36">
        <w:r w:rsidDel="00000000" w:rsidR="00000000" w:rsidRPr="00000000">
          <w:rPr>
            <w:rFonts w:ascii="Google Sans" w:cs="Google Sans" w:eastAsia="Google Sans" w:hAnsi="Google Sans"/>
            <w:color w:val="0000ee"/>
            <w:sz w:val="24"/>
            <w:szCs w:val="24"/>
            <w:u w:val="single"/>
            <w:rtl w:val="0"/>
          </w:rPr>
          <w:t xml:space="preserve">https://softwarch.files.wordpress.com/2015/12/dsm.pdf</w:t>
        </w:r>
      </w:hyperlink>
      <w:r w:rsidDel="00000000" w:rsidR="00000000" w:rsidRPr="00000000">
        <w:rPr>
          <w:rtl w:val="0"/>
        </w:rPr>
      </w:r>
    </w:p>
    <w:p w:rsidR="00000000" w:rsidDel="00000000" w:rsidP="00000000" w:rsidRDefault="00000000" w:rsidRPr="00000000" w14:paraId="0000017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Reading a DSM - The Design Structure Matrix (DSM), avattu marraskuuta 21, 2025, </w:t>
      </w:r>
      <w:hyperlink r:id="rId37">
        <w:r w:rsidDel="00000000" w:rsidR="00000000" w:rsidRPr="00000000">
          <w:rPr>
            <w:rFonts w:ascii="Google Sans" w:cs="Google Sans" w:eastAsia="Google Sans" w:hAnsi="Google Sans"/>
            <w:color w:val="0000ee"/>
            <w:sz w:val="24"/>
            <w:szCs w:val="24"/>
            <w:u w:val="single"/>
            <w:rtl w:val="0"/>
          </w:rPr>
          <w:t xml:space="preserve">https://dsmweb.org/reading-a-dsm/</w:t>
        </w:r>
      </w:hyperlink>
      <w:r w:rsidDel="00000000" w:rsidR="00000000" w:rsidRPr="00000000">
        <w:rPr>
          <w:rtl w:val="0"/>
        </w:rPr>
      </w:r>
    </w:p>
    <w:p w:rsidR="00000000" w:rsidDel="00000000" w:rsidP="00000000" w:rsidRDefault="00000000" w:rsidRPr="00000000" w14:paraId="0000017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Applying The Design Structure Matrix To System Decomposition And Integration Problems: A Review And New Directions - ResearchGate, avattu marraskuuta 21, 2025, </w:t>
      </w:r>
      <w:hyperlink r:id="rId38">
        <w:r w:rsidDel="00000000" w:rsidR="00000000" w:rsidRPr="00000000">
          <w:rPr>
            <w:rFonts w:ascii="Google Sans" w:cs="Google Sans" w:eastAsia="Google Sans" w:hAnsi="Google Sans"/>
            <w:color w:val="0000ee"/>
            <w:sz w:val="24"/>
            <w:szCs w:val="24"/>
            <w:u w:val="single"/>
            <w:rtl w:val="0"/>
          </w:rPr>
          <w:t xml:space="preserve">https://www.researchgate.net/publication/3076682_Applying_The_Design_Structure_Matrix_To_System_Decomposition_And_Integration_Problems_A_Review_And_New_Directions</w:t>
        </w:r>
      </w:hyperlink>
      <w:r w:rsidDel="00000000" w:rsidR="00000000" w:rsidRPr="00000000">
        <w:rPr>
          <w:rtl w:val="0"/>
        </w:rPr>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Applying the Design Structure Matrix to System Decomposition and Integration Problems: A Review and New Directions, avattu marraskuuta 21, 2025, </w:t>
      </w:r>
      <w:hyperlink r:id="rId39">
        <w:r w:rsidDel="00000000" w:rsidR="00000000" w:rsidRPr="00000000">
          <w:rPr>
            <w:rFonts w:ascii="Google Sans" w:cs="Google Sans" w:eastAsia="Google Sans" w:hAnsi="Google Sans"/>
            <w:color w:val="0000ee"/>
            <w:sz w:val="24"/>
            <w:szCs w:val="24"/>
            <w:u w:val="single"/>
            <w:rtl w:val="0"/>
          </w:rPr>
          <w:t xml:space="preserve">https://www.axiomaticdesign.com/wp-content/uploads/4dsms.pdf</w:t>
        </w:r>
      </w:hyperlink>
      <w:r w:rsidDel="00000000" w:rsidR="00000000" w:rsidRPr="00000000">
        <w:rPr>
          <w:rtl w:val="0"/>
        </w:rPr>
      </w:r>
    </w:p>
    <w:p w:rsidR="00000000" w:rsidDel="00000000" w:rsidP="00000000" w:rsidRDefault="00000000" w:rsidRPr="00000000" w14:paraId="0000017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Multi-Domain Design Structure Matrix Approach Applied to Urban System Modeling - MDPI, avattu marraskuuta 21, 2025, </w:t>
      </w:r>
      <w:hyperlink r:id="rId40">
        <w:r w:rsidDel="00000000" w:rsidR="00000000" w:rsidRPr="00000000">
          <w:rPr>
            <w:rFonts w:ascii="Google Sans" w:cs="Google Sans" w:eastAsia="Google Sans" w:hAnsi="Google Sans"/>
            <w:color w:val="0000ee"/>
            <w:sz w:val="24"/>
            <w:szCs w:val="24"/>
            <w:u w:val="single"/>
            <w:rtl w:val="0"/>
          </w:rPr>
          <w:t xml:space="preserve">https://www.mdpi.com/2413-8851/4/2/28</w:t>
        </w:r>
      </w:hyperlink>
      <w:r w:rsidDel="00000000" w:rsidR="00000000" w:rsidRPr="00000000">
        <w:rPr>
          <w:rtl w:val="0"/>
        </w:rPr>
      </w:r>
    </w:p>
    <w:p w:rsidR="00000000" w:rsidDel="00000000" w:rsidP="00000000" w:rsidRDefault="00000000" w:rsidRPr="00000000" w14:paraId="0000017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Knowledge Graphs - Communications of the ACM, avattu marraskuuta 21, 2025, </w:t>
      </w:r>
      <w:hyperlink r:id="rId41">
        <w:r w:rsidDel="00000000" w:rsidR="00000000" w:rsidRPr="00000000">
          <w:rPr>
            <w:rFonts w:ascii="Google Sans" w:cs="Google Sans" w:eastAsia="Google Sans" w:hAnsi="Google Sans"/>
            <w:color w:val="0000ee"/>
            <w:sz w:val="24"/>
            <w:szCs w:val="24"/>
            <w:u w:val="single"/>
            <w:rtl w:val="0"/>
          </w:rPr>
          <w:t xml:space="preserve">https://cacm.acm.org/research/knowledge-graphs/</w:t>
        </w:r>
      </w:hyperlink>
      <w:r w:rsidDel="00000000" w:rsidR="00000000" w:rsidRPr="00000000">
        <w:rPr>
          <w:rtl w:val="0"/>
        </w:rPr>
      </w:r>
    </w:p>
    <w:p w:rsidR="00000000" w:rsidDel="00000000" w:rsidP="00000000" w:rsidRDefault="00000000" w:rsidRPr="00000000" w14:paraId="0000017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Existential graph - Wikipedia, avattu marraskuuta 21, 2025, </w:t>
      </w:r>
      <w:hyperlink r:id="rId42">
        <w:r w:rsidDel="00000000" w:rsidR="00000000" w:rsidRPr="00000000">
          <w:rPr>
            <w:rFonts w:ascii="Google Sans" w:cs="Google Sans" w:eastAsia="Google Sans" w:hAnsi="Google Sans"/>
            <w:color w:val="0000ee"/>
            <w:sz w:val="24"/>
            <w:szCs w:val="24"/>
            <w:u w:val="single"/>
            <w:rtl w:val="0"/>
          </w:rPr>
          <w:t xml:space="preserve">https://en.wikipedia.org/wiki/Existential_graph</w:t>
        </w:r>
      </w:hyperlink>
      <w:r w:rsidDel="00000000" w:rsidR="00000000" w:rsidRPr="00000000">
        <w:rPr>
          <w:rtl w:val="0"/>
        </w:rPr>
      </w:r>
    </w:p>
    <w:p w:rsidR="00000000" w:rsidDel="00000000" w:rsidP="00000000" w:rsidRDefault="00000000" w:rsidRPr="00000000" w14:paraId="0000017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Default Reasoning Implementation in CoGui - ResearchGate, avattu marraskuuta 21, 2025, </w:t>
      </w:r>
      <w:hyperlink r:id="rId43">
        <w:r w:rsidDel="00000000" w:rsidR="00000000" w:rsidRPr="00000000">
          <w:rPr>
            <w:rFonts w:ascii="Google Sans" w:cs="Google Sans" w:eastAsia="Google Sans" w:hAnsi="Google Sans"/>
            <w:color w:val="0000ee"/>
            <w:sz w:val="24"/>
            <w:szCs w:val="24"/>
            <w:u w:val="single"/>
            <w:rtl w:val="0"/>
          </w:rPr>
          <w:t xml:space="preserve">https://www.researchgate.net/publication/264537104_Default_Reasoning_Implementation_in_CoGui</w:t>
        </w:r>
      </w:hyperlink>
      <w:r w:rsidDel="00000000" w:rsidR="00000000" w:rsidRPr="00000000">
        <w:rPr>
          <w:rtl w:val="0"/>
        </w:rPr>
      </w:r>
    </w:p>
    <w:p w:rsidR="00000000" w:rsidDel="00000000" w:rsidP="00000000" w:rsidRDefault="00000000" w:rsidRPr="00000000" w14:paraId="0000017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Conceptual Ontology - Amine PLATFORM, avattu marraskuuta 21, 2025, </w:t>
      </w:r>
      <w:hyperlink r:id="rId44">
        <w:r w:rsidDel="00000000" w:rsidR="00000000" w:rsidRPr="00000000">
          <w:rPr>
            <w:rFonts w:ascii="Google Sans" w:cs="Google Sans" w:eastAsia="Google Sans" w:hAnsi="Google Sans"/>
            <w:color w:val="0000ee"/>
            <w:sz w:val="24"/>
            <w:szCs w:val="24"/>
            <w:u w:val="single"/>
            <w:rtl w:val="0"/>
          </w:rPr>
          <w:t xml:space="preserve">https://amine-platform.sourceforge.net/component/kernel/ontology.htm</w:t>
        </w:r>
      </w:hyperlink>
      <w:r w:rsidDel="00000000" w:rsidR="00000000" w:rsidRPr="00000000">
        <w:rPr>
          <w:rtl w:val="0"/>
        </w:rPr>
      </w:r>
    </w:p>
    <w:p w:rsidR="00000000" w:rsidDel="00000000" w:rsidP="00000000" w:rsidRDefault="00000000" w:rsidRPr="00000000" w14:paraId="0000017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Synergy - Amine PLATFORM, avattu marraskuuta 21, 2025, </w:t>
      </w:r>
      <w:hyperlink r:id="rId45">
        <w:r w:rsidDel="00000000" w:rsidR="00000000" w:rsidRPr="00000000">
          <w:rPr>
            <w:rFonts w:ascii="Google Sans" w:cs="Google Sans" w:eastAsia="Google Sans" w:hAnsi="Google Sans"/>
            <w:color w:val="0000ee"/>
            <w:sz w:val="24"/>
            <w:szCs w:val="24"/>
            <w:u w:val="single"/>
            <w:rtl w:val="0"/>
          </w:rPr>
          <w:t xml:space="preserve">https://amine-platform.sourceforge.net/component/engines/Synergy.htm</w:t>
        </w:r>
      </w:hyperlink>
      <w:r w:rsidDel="00000000" w:rsidR="00000000" w:rsidRPr="00000000">
        <w:rPr>
          <w:rtl w:val="0"/>
        </w:rPr>
      </w:r>
    </w:p>
    <w:p w:rsidR="00000000" w:rsidDel="00000000" w:rsidP="00000000" w:rsidRDefault="00000000" w:rsidRPr="00000000" w14:paraId="0000017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a Knowledge Graph? - Graph Database &amp; Analytics - Neo4j, avattu marraskuuta 21, 2025, </w:t>
      </w:r>
      <w:hyperlink r:id="rId46">
        <w:r w:rsidDel="00000000" w:rsidR="00000000" w:rsidRPr="00000000">
          <w:rPr>
            <w:rFonts w:ascii="Google Sans" w:cs="Google Sans" w:eastAsia="Google Sans" w:hAnsi="Google Sans"/>
            <w:color w:val="0000ee"/>
            <w:sz w:val="24"/>
            <w:szCs w:val="24"/>
            <w:u w:val="single"/>
            <w:rtl w:val="0"/>
          </w:rPr>
          <w:t xml:space="preserve">https://neo4j.com/blog/knowledge-graph/what-is-knowledge-graph/</w:t>
        </w:r>
      </w:hyperlink>
      <w:r w:rsidDel="00000000" w:rsidR="00000000" w:rsidRPr="00000000">
        <w:rPr>
          <w:rtl w:val="0"/>
        </w:rPr>
      </w:r>
    </w:p>
    <w:p w:rsidR="00000000" w:rsidDel="00000000" w:rsidP="00000000" w:rsidRDefault="00000000" w:rsidRPr="00000000" w14:paraId="0000017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a Knowledge Graph? - Esri, avattu marraskuuta 21, 2025, </w:t>
      </w:r>
      <w:hyperlink r:id="rId47">
        <w:r w:rsidDel="00000000" w:rsidR="00000000" w:rsidRPr="00000000">
          <w:rPr>
            <w:rFonts w:ascii="Google Sans" w:cs="Google Sans" w:eastAsia="Google Sans" w:hAnsi="Google Sans"/>
            <w:color w:val="0000ee"/>
            <w:sz w:val="24"/>
            <w:szCs w:val="24"/>
            <w:u w:val="single"/>
            <w:rtl w:val="0"/>
          </w:rPr>
          <w:t xml:space="preserve">https://www.esri.com/arcgis-blog/products/arcgis-enterprise/data-management/what-is-a-knowledge-graph</w:t>
        </w:r>
      </w:hyperlink>
      <w:r w:rsidDel="00000000" w:rsidR="00000000" w:rsidRPr="00000000">
        <w:rPr>
          <w:rtl w:val="0"/>
        </w:rPr>
      </w:r>
    </w:p>
    <w:p w:rsidR="00000000" w:rsidDel="00000000" w:rsidP="00000000" w:rsidRDefault="00000000" w:rsidRPr="00000000" w14:paraId="0000017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Graph-Based Knowledge Management Tools 2025 for Enhanced Productivity and Research - Knowing® Blog, avattu marraskuuta 21, 2025, </w:t>
      </w:r>
      <w:hyperlink r:id="rId48">
        <w:r w:rsidDel="00000000" w:rsidR="00000000" w:rsidRPr="00000000">
          <w:rPr>
            <w:rFonts w:ascii="Google Sans" w:cs="Google Sans" w:eastAsia="Google Sans" w:hAnsi="Google Sans"/>
            <w:color w:val="0000ee"/>
            <w:sz w:val="24"/>
            <w:szCs w:val="24"/>
            <w:u w:val="single"/>
            <w:rtl w:val="0"/>
          </w:rPr>
          <w:t xml:space="preserve">https://blog.knowing.app/posts/top-graph-based-knowledge-management-tools-2025/</w:t>
        </w:r>
      </w:hyperlink>
      <w:r w:rsidDel="00000000" w:rsidR="00000000" w:rsidRPr="00000000">
        <w:rPr>
          <w:rtl w:val="0"/>
        </w:rPr>
      </w:r>
    </w:p>
    <w:p w:rsidR="00000000" w:rsidDel="00000000" w:rsidP="00000000" w:rsidRDefault="00000000" w:rsidRPr="00000000" w14:paraId="0000017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Matthew Grace, et al v. DC, et al, No. 16-7067 (D.C. Cir. 2017) - Justia Law, avattu marraskuuta 21, 2025, </w:t>
      </w:r>
      <w:hyperlink r:id="rId49">
        <w:r w:rsidDel="00000000" w:rsidR="00000000" w:rsidRPr="00000000">
          <w:rPr>
            <w:rFonts w:ascii="Google Sans" w:cs="Google Sans" w:eastAsia="Google Sans" w:hAnsi="Google Sans"/>
            <w:color w:val="0000ee"/>
            <w:sz w:val="24"/>
            <w:szCs w:val="24"/>
            <w:u w:val="single"/>
            <w:rtl w:val="0"/>
          </w:rPr>
          <w:t xml:space="preserve">https://law.justia.com/cases/federal/appellate-courts/cadc/16-7067/16-7067-2017-07-25.html</w:t>
        </w:r>
      </w:hyperlink>
      <w:r w:rsidDel="00000000" w:rsidR="00000000" w:rsidRPr="00000000">
        <w:rPr>
          <w:rtl w:val="0"/>
        </w:rPr>
      </w:r>
    </w:p>
    <w:p w:rsidR="00000000" w:rsidDel="00000000" w:rsidP="00000000" w:rsidRDefault="00000000" w:rsidRPr="00000000" w14:paraId="0000017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Another Great AAPT Conferenee - American Association of Philosophy Teachers, avattu marraskuuta 21, 2025, </w:t>
      </w:r>
      <w:hyperlink r:id="rId50">
        <w:r w:rsidDel="00000000" w:rsidR="00000000" w:rsidRPr="00000000">
          <w:rPr>
            <w:rFonts w:ascii="Google Sans" w:cs="Google Sans" w:eastAsia="Google Sans" w:hAnsi="Google Sans"/>
            <w:color w:val="0000ee"/>
            <w:sz w:val="24"/>
            <w:szCs w:val="24"/>
            <w:u w:val="single"/>
            <w:rtl w:val="0"/>
          </w:rPr>
          <w:t xml:space="preserve">https://philosophyteachers.org/documents/newsletters/Vol_15_No_3_November_1992.pdf</w:t>
        </w:r>
      </w:hyperlink>
      <w:r w:rsidDel="00000000" w:rsidR="00000000" w:rsidRPr="00000000">
        <w:rPr>
          <w:rtl w:val="0"/>
        </w:rPr>
      </w:r>
    </w:p>
    <w:p w:rsidR="00000000" w:rsidDel="00000000" w:rsidP="00000000" w:rsidRDefault="00000000" w:rsidRPr="00000000" w14:paraId="0000017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Neuro-Symbolic AI for Advanced Signal and Image Processing: A Review of Recent Trends and Future Directions, avattu marraskuuta 21, 2025, </w:t>
      </w:r>
      <w:hyperlink r:id="rId51">
        <w:r w:rsidDel="00000000" w:rsidR="00000000" w:rsidRPr="00000000">
          <w:rPr>
            <w:rFonts w:ascii="Google Sans" w:cs="Google Sans" w:eastAsia="Google Sans" w:hAnsi="Google Sans"/>
            <w:color w:val="0000ee"/>
            <w:sz w:val="24"/>
            <w:szCs w:val="24"/>
            <w:u w:val="single"/>
            <w:rtl w:val="0"/>
          </w:rPr>
          <w:t xml:space="preserve">https://ieeexplore.ieee.org/iel8/6287639/10820123/11124915.pdf</w:t>
        </w:r>
      </w:hyperlink>
      <w:r w:rsidDel="00000000" w:rsidR="00000000" w:rsidRPr="00000000">
        <w:rPr>
          <w:rtl w:val="0"/>
        </w:rPr>
      </w:r>
    </w:p>
    <w:p w:rsidR="00000000" w:rsidDel="00000000" w:rsidP="00000000" w:rsidRDefault="00000000" w:rsidRPr="00000000" w14:paraId="0000018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Neuro-Symbolic AI: A Future of Tomorrow - ASEAN Journal on Science and Technology for Development - Universiti Brunei Darussalam, avattu marraskuuta 21, 2025, </w:t>
      </w:r>
      <w:hyperlink r:id="rId52">
        <w:r w:rsidDel="00000000" w:rsidR="00000000" w:rsidRPr="00000000">
          <w:rPr>
            <w:rFonts w:ascii="Google Sans" w:cs="Google Sans" w:eastAsia="Google Sans" w:hAnsi="Google Sans"/>
            <w:color w:val="0000ee"/>
            <w:sz w:val="24"/>
            <w:szCs w:val="24"/>
            <w:u w:val="single"/>
            <w:rtl w:val="0"/>
          </w:rPr>
          <w:t xml:space="preserve">https://ajstd.ubd.edu.bn/cgi/viewcontent.cgi?article=1620&amp;context=journal</w:t>
        </w:r>
      </w:hyperlink>
      <w:r w:rsidDel="00000000" w:rsidR="00000000" w:rsidRPr="00000000">
        <w:rPr>
          <w:rtl w:val="0"/>
        </w:rPr>
      </w:r>
    </w:p>
    <w:p w:rsidR="00000000" w:rsidDel="00000000" w:rsidP="00000000" w:rsidRDefault="00000000" w:rsidRPr="00000000" w14:paraId="0000018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Neuro-Bridge-X: A Neuro-Symbolic Vision Transformer with Meta-XAI for Interpretable Leukemia Diagnosis from Peripheral Blood Smears - PMC - NIH, avattu marraskuuta 21, 2025, </w:t>
      </w:r>
      <w:hyperlink r:id="rId53">
        <w:r w:rsidDel="00000000" w:rsidR="00000000" w:rsidRPr="00000000">
          <w:rPr>
            <w:rFonts w:ascii="Google Sans" w:cs="Google Sans" w:eastAsia="Google Sans" w:hAnsi="Google Sans"/>
            <w:color w:val="0000ee"/>
            <w:sz w:val="24"/>
            <w:szCs w:val="24"/>
            <w:u w:val="single"/>
            <w:rtl w:val="0"/>
          </w:rPr>
          <w:t xml:space="preserve">https://pmc.ncbi.nlm.nih.gov/articles/PMC12385239/</w:t>
        </w:r>
      </w:hyperlink>
      <w:r w:rsidDel="00000000" w:rsidR="00000000" w:rsidRPr="00000000">
        <w:rPr>
          <w:rtl w:val="0"/>
        </w:rPr>
      </w:r>
    </w:p>
    <w:p w:rsidR="00000000" w:rsidDel="00000000" w:rsidP="00000000" w:rsidRDefault="00000000" w:rsidRPr="00000000" w14:paraId="0000018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LLM-Based Scientific Agents - Emergent Mind, avattu marraskuuta 21, 2025, </w:t>
      </w:r>
      <w:hyperlink r:id="rId54">
        <w:r w:rsidDel="00000000" w:rsidR="00000000" w:rsidRPr="00000000">
          <w:rPr>
            <w:rFonts w:ascii="Google Sans" w:cs="Google Sans" w:eastAsia="Google Sans" w:hAnsi="Google Sans"/>
            <w:color w:val="0000ee"/>
            <w:sz w:val="24"/>
            <w:szCs w:val="24"/>
            <w:u w:val="single"/>
            <w:rtl w:val="0"/>
          </w:rPr>
          <w:t xml:space="preserve">https://www.emergentmind.com/topics/llm-based-scientific-agents</w:t>
        </w:r>
      </w:hyperlink>
      <w:r w:rsidDel="00000000" w:rsidR="00000000" w:rsidRPr="00000000">
        <w:rPr>
          <w:rtl w:val="0"/>
        </w:rPr>
      </w:r>
    </w:p>
    <w:p w:rsidR="00000000" w:rsidDel="00000000" w:rsidP="00000000" w:rsidRDefault="00000000" w:rsidRPr="00000000" w14:paraId="0000018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Memory, Reasoning, and Planning of Language Agents - Berkeley RDI, avattu marraskuuta 21, 2025, </w:t>
      </w:r>
      <w:hyperlink r:id="rId55">
        <w:r w:rsidDel="00000000" w:rsidR="00000000" w:rsidRPr="00000000">
          <w:rPr>
            <w:rFonts w:ascii="Google Sans" w:cs="Google Sans" w:eastAsia="Google Sans" w:hAnsi="Google Sans"/>
            <w:color w:val="0000ee"/>
            <w:sz w:val="24"/>
            <w:szCs w:val="24"/>
            <w:u w:val="single"/>
            <w:rtl w:val="0"/>
          </w:rPr>
          <w:t xml:space="preserve">https://rdi.berkeley.edu/adv-llm-agents/slides/language_agents_YuSu_Berkeley.pdf</w:t>
        </w:r>
      </w:hyperlink>
      <w:r w:rsidDel="00000000" w:rsidR="00000000" w:rsidRPr="00000000">
        <w:rPr>
          <w:rtl w:val="0"/>
        </w:rPr>
      </w:r>
    </w:p>
    <w:p w:rsidR="00000000" w:rsidDel="00000000" w:rsidP="00000000" w:rsidRDefault="00000000" w:rsidRPr="00000000" w14:paraId="0000018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Olog - Wikipedia, avattu marraskuuta 21, 2025, </w:t>
      </w:r>
      <w:hyperlink r:id="rId56">
        <w:r w:rsidDel="00000000" w:rsidR="00000000" w:rsidRPr="00000000">
          <w:rPr>
            <w:rFonts w:ascii="Google Sans" w:cs="Google Sans" w:eastAsia="Google Sans" w:hAnsi="Google Sans"/>
            <w:color w:val="0000ee"/>
            <w:sz w:val="24"/>
            <w:szCs w:val="24"/>
            <w:u w:val="single"/>
            <w:rtl w:val="0"/>
          </w:rPr>
          <w:t xml:space="preserve">https://en.wikipedia.org/wiki/Olog</w:t>
        </w:r>
      </w:hyperlink>
      <w:r w:rsidDel="00000000" w:rsidR="00000000" w:rsidRPr="00000000">
        <w:rPr>
          <w:rtl w:val="0"/>
        </w:rPr>
      </w:r>
    </w:p>
    <w:p w:rsidR="00000000" w:rsidDel="00000000" w:rsidP="00000000" w:rsidRDefault="00000000" w:rsidRPr="00000000" w14:paraId="0000018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Curriculum Vitae - David I. Spivak, avattu marraskuuta 21, 2025, </w:t>
      </w:r>
      <w:hyperlink r:id="rId57">
        <w:r w:rsidDel="00000000" w:rsidR="00000000" w:rsidRPr="00000000">
          <w:rPr>
            <w:rFonts w:ascii="Google Sans" w:cs="Google Sans" w:eastAsia="Google Sans" w:hAnsi="Google Sans"/>
            <w:color w:val="0000ee"/>
            <w:sz w:val="24"/>
            <w:szCs w:val="24"/>
            <w:u w:val="single"/>
            <w:rtl w:val="0"/>
          </w:rPr>
          <w:t xml:space="preserve">https://dspivak.net/cv--Spivak.pdf</w:t>
        </w:r>
      </w:hyperlink>
      <w:r w:rsidDel="00000000" w:rsidR="00000000" w:rsidRPr="00000000">
        <w:rPr>
          <w:rtl w:val="0"/>
        </w:rPr>
      </w:r>
    </w:p>
    <w:p w:rsidR="00000000" w:rsidDel="00000000" w:rsidP="00000000" w:rsidRDefault="00000000" w:rsidRPr="00000000" w14:paraId="0000018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AlgebraicJulia/Catlab.jl: A framework for applied category theory in the Julia language - GitHub, avattu marraskuuta 21, 2025, </w:t>
      </w:r>
      <w:hyperlink r:id="rId58">
        <w:r w:rsidDel="00000000" w:rsidR="00000000" w:rsidRPr="00000000">
          <w:rPr>
            <w:rFonts w:ascii="Google Sans" w:cs="Google Sans" w:eastAsia="Google Sans" w:hAnsi="Google Sans"/>
            <w:color w:val="0000ee"/>
            <w:sz w:val="24"/>
            <w:szCs w:val="24"/>
            <w:u w:val="single"/>
            <w:rtl w:val="0"/>
          </w:rPr>
          <w:t xml:space="preserve">https://github.com/AlgebraicJulia/Catlab.jl</w:t>
        </w:r>
      </w:hyperlink>
      <w:r w:rsidDel="00000000" w:rsidR="00000000" w:rsidRPr="00000000">
        <w:rPr>
          <w:rtl w:val="0"/>
        </w:rPr>
      </w:r>
    </w:p>
    <w:p w:rsidR="00000000" w:rsidDel="00000000" w:rsidP="00000000" w:rsidRDefault="00000000" w:rsidRPr="00000000" w14:paraId="0000018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 319 930 AUTHOR TITLE SPONS AGENCY PUB DATE NOTE PUB TYPE EDRS PRICE DESCRIPTORS IDENTIFIERS ABSTRACT DOCUMENT RESUME CE 054 8 - ERIC, avattu marraskuuta 21, 2025, </w:t>
      </w:r>
      <w:hyperlink r:id="rId59">
        <w:r w:rsidDel="00000000" w:rsidR="00000000" w:rsidRPr="00000000">
          <w:rPr>
            <w:rFonts w:ascii="Google Sans" w:cs="Google Sans" w:eastAsia="Google Sans" w:hAnsi="Google Sans"/>
            <w:color w:val="0000ee"/>
            <w:sz w:val="24"/>
            <w:szCs w:val="24"/>
            <w:u w:val="single"/>
            <w:rtl w:val="0"/>
          </w:rPr>
          <w:t xml:space="preserve">https://files.eric.ed.gov/fulltext/ED319930.pdf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dpi.com/2413-8851/4/2/28" TargetMode="External"/><Relationship Id="rId42" Type="http://schemas.openxmlformats.org/officeDocument/2006/relationships/hyperlink" Target="https://en.wikipedia.org/wiki/Existential_graph" TargetMode="External"/><Relationship Id="rId41" Type="http://schemas.openxmlformats.org/officeDocument/2006/relationships/hyperlink" Target="https://cacm.acm.org/research/knowledge-graphs/" TargetMode="External"/><Relationship Id="rId44" Type="http://schemas.openxmlformats.org/officeDocument/2006/relationships/hyperlink" Target="https://amine-platform.sourceforge.net/component/kernel/ontology.htm" TargetMode="External"/><Relationship Id="rId43" Type="http://schemas.openxmlformats.org/officeDocument/2006/relationships/hyperlink" Target="https://www.researchgate.net/publication/264537104_Default_Reasoning_Implementation_in_CoGui" TargetMode="External"/><Relationship Id="rId46" Type="http://schemas.openxmlformats.org/officeDocument/2006/relationships/hyperlink" Target="https://neo4j.com/blog/knowledge-graph/what-is-knowledge-graph/" TargetMode="External"/><Relationship Id="rId45" Type="http://schemas.openxmlformats.org/officeDocument/2006/relationships/hyperlink" Target="https://amine-platform.sourceforge.net/component/engines/Synergy.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pcloud.tech/" TargetMode="External"/><Relationship Id="rId48" Type="http://schemas.openxmlformats.org/officeDocument/2006/relationships/hyperlink" Target="https://blog.knowing.app/posts/top-graph-based-knowledge-management-tools-2025/" TargetMode="External"/><Relationship Id="rId47" Type="http://schemas.openxmlformats.org/officeDocument/2006/relationships/hyperlink" Target="https://www.esri.com/arcgis-blog/products/arcgis-enterprise/data-management/what-is-a-knowledge-graph" TargetMode="External"/><Relationship Id="rId49" Type="http://schemas.openxmlformats.org/officeDocument/2006/relationships/hyperlink" Target="https://law.justia.com/cases/federal/appellate-courts/cadc/16-7067/16-7067-2017-07-25.html" TargetMode="External"/><Relationship Id="rId5" Type="http://schemas.openxmlformats.org/officeDocument/2006/relationships/styles" Target="styles.xml"/><Relationship Id="rId6" Type="http://schemas.openxmlformats.org/officeDocument/2006/relationships/hyperlink" Target="https://metayliopisto.fi/goodreason-systeemikieli/" TargetMode="External"/><Relationship Id="rId7" Type="http://schemas.openxmlformats.org/officeDocument/2006/relationships/hyperlink" Target="https://nvlpubs.nist.gov/nistpubs/Legacy/SP/nbsspecialpublication441.pdf" TargetMode="External"/><Relationship Id="rId8" Type="http://schemas.openxmlformats.org/officeDocument/2006/relationships/hyperlink" Target="https://dspace.mit.edu/bitstream/handle/1721.1/131336/applsci-11-01945-v2.pdf?sequence=1&amp;isAllowed=y" TargetMode="External"/><Relationship Id="rId31" Type="http://schemas.openxmlformats.org/officeDocument/2006/relationships/hyperlink" Target="https://en.wikipedia.org/wiki/Object_Process_Methodology" TargetMode="External"/><Relationship Id="rId30" Type="http://schemas.openxmlformats.org/officeDocument/2006/relationships/hyperlink" Target="https://ar5iv.labs.arxiv.org/html/2211.01290" TargetMode="External"/><Relationship Id="rId33" Type="http://schemas.openxmlformats.org/officeDocument/2006/relationships/hyperlink" Target="https://www.researchgate.net/figure/Object-Process-Methodology-elements-outline-OPM-Things-Stateful-Object-and-Process_tbl1_330199861" TargetMode="External"/><Relationship Id="rId32" Type="http://schemas.openxmlformats.org/officeDocument/2006/relationships/hyperlink" Target="https://www.scribd.com/document/584872541/Dov-dori" TargetMode="External"/><Relationship Id="rId35" Type="http://schemas.openxmlformats.org/officeDocument/2006/relationships/hyperlink" Target="https://www.opcloud.tech/features" TargetMode="External"/><Relationship Id="rId34" Type="http://schemas.openxmlformats.org/officeDocument/2006/relationships/hyperlink" Target="https://www.opcloud.tech/home" TargetMode="External"/><Relationship Id="rId37" Type="http://schemas.openxmlformats.org/officeDocument/2006/relationships/hyperlink" Target="https://dsmweb.org/reading-a-dsm/" TargetMode="External"/><Relationship Id="rId36" Type="http://schemas.openxmlformats.org/officeDocument/2006/relationships/hyperlink" Target="https://softwarch.files.wordpress.com/2015/12/dsm.pdf" TargetMode="External"/><Relationship Id="rId39" Type="http://schemas.openxmlformats.org/officeDocument/2006/relationships/hyperlink" Target="https://www.axiomaticdesign.com/wp-content/uploads/4dsms.pdf" TargetMode="External"/><Relationship Id="rId38" Type="http://schemas.openxmlformats.org/officeDocument/2006/relationships/hyperlink" Target="https://www.researchgate.net/publication/3076682_Applying_The_Design_Structure_Matrix_To_System_Decomposition_And_Integration_Problems_A_Review_And_New_Directions" TargetMode="External"/><Relationship Id="rId20" Type="http://schemas.openxmlformats.org/officeDocument/2006/relationships/hyperlink" Target="https://journals.plos.org/plosone/article?id=10.1371/journal.pone.0024274" TargetMode="External"/><Relationship Id="rId22" Type="http://schemas.openxmlformats.org/officeDocument/2006/relationships/hyperlink" Target="https://www.researchgate.net/publication/305645639_Using_Category_Theory_to_Facilitate_Multiple_Manufacturing_Service_Database_Integration" TargetMode="External"/><Relationship Id="rId21" Type="http://schemas.openxmlformats.org/officeDocument/2006/relationships/hyperlink" Target="https://pmc.ncbi.nlm.nih.gov/articles/PMC3269434/" TargetMode="External"/><Relationship Id="rId24" Type="http://schemas.openxmlformats.org/officeDocument/2006/relationships/hyperlink" Target="https://www.alphaxiv.org/overview/1909.04881v3" TargetMode="External"/><Relationship Id="rId23" Type="http://schemas.openxmlformats.org/officeDocument/2006/relationships/hyperlink" Target="https://conexus.com/the-post-covid-supply-chain-achieving-both-agility-and-performance-via-ai/" TargetMode="External"/><Relationship Id="rId26" Type="http://schemas.openxmlformats.org/officeDocument/2006/relationships/hyperlink" Target="https://www.scribd.com/document/915031454/Dragon-and-Hydra-Graph-Programming-and-Executable-Graphs-o3-2025" TargetMode="External"/><Relationship Id="rId25" Type="http://schemas.openxmlformats.org/officeDocument/2006/relationships/hyperlink" Target="https://news.ycombinator.com/item?id=21004115" TargetMode="External"/><Relationship Id="rId28" Type="http://schemas.openxmlformats.org/officeDocument/2006/relationships/hyperlink" Target="https://algebraicjulia.github.io/Catlab.jl/v0.5/" TargetMode="External"/><Relationship Id="rId27" Type="http://schemas.openxmlformats.org/officeDocument/2006/relationships/hyperlink" Target="https://datadaytexas.com/2022/sessions" TargetMode="External"/><Relationship Id="rId29" Type="http://schemas.openxmlformats.org/officeDocument/2006/relationships/hyperlink" Target="https://www.algebraicjulia.org/" TargetMode="External"/><Relationship Id="rId51" Type="http://schemas.openxmlformats.org/officeDocument/2006/relationships/hyperlink" Target="https://ieeexplore.ieee.org/iel8/6287639/10820123/11124915.pdf" TargetMode="External"/><Relationship Id="rId50" Type="http://schemas.openxmlformats.org/officeDocument/2006/relationships/hyperlink" Target="https://philosophyteachers.org/documents/newsletters/Vol_15_No_3_November_1992.pdf" TargetMode="External"/><Relationship Id="rId53" Type="http://schemas.openxmlformats.org/officeDocument/2006/relationships/hyperlink" Target="https://pmc.ncbi.nlm.nih.gov/articles/PMC12385239/" TargetMode="External"/><Relationship Id="rId52" Type="http://schemas.openxmlformats.org/officeDocument/2006/relationships/hyperlink" Target="https://ajstd.ubd.edu.bn/cgi/viewcontent.cgi?article=1620&amp;context=journal" TargetMode="External"/><Relationship Id="rId11" Type="http://schemas.openxmlformats.org/officeDocument/2006/relationships/hyperlink" Target="https://en.wikipedia.org/wiki/Semiotics" TargetMode="External"/><Relationship Id="rId55" Type="http://schemas.openxmlformats.org/officeDocument/2006/relationships/hyperlink" Target="https://rdi.berkeley.edu/adv-llm-agents/slides/language_agents_YuSu_Berkeley.pdf" TargetMode="External"/><Relationship Id="rId10" Type="http://schemas.openxmlformats.org/officeDocument/2006/relationships/hyperlink" Target="https://conexus.com/conexus-faq/" TargetMode="External"/><Relationship Id="rId54" Type="http://schemas.openxmlformats.org/officeDocument/2006/relationships/hyperlink" Target="https://www.emergentmind.com/topics/llm-based-scientific-agents" TargetMode="External"/><Relationship Id="rId13" Type="http://schemas.openxmlformats.org/officeDocument/2006/relationships/hyperlink" Target="https://kar.kent.ac.uk/id/document/29705" TargetMode="External"/><Relationship Id="rId57" Type="http://schemas.openxmlformats.org/officeDocument/2006/relationships/hyperlink" Target="https://dspivak.net/cv--Spivak.pdf" TargetMode="External"/><Relationship Id="rId12" Type="http://schemas.openxmlformats.org/officeDocument/2006/relationships/hyperlink" Target="https://medium.com/@nfigay/from-semiotics-to-semantic-interoperability-of-companies-in-the-digital-world-dr-nicolas-figay-c29278b2d41d" TargetMode="External"/><Relationship Id="rId56" Type="http://schemas.openxmlformats.org/officeDocument/2006/relationships/hyperlink" Target="https://en.wikipedia.org/wiki/Olog" TargetMode="External"/><Relationship Id="rId15" Type="http://schemas.openxmlformats.org/officeDocument/2006/relationships/hyperlink" Target="https://arxiv.org/pdf/2508.20195" TargetMode="External"/><Relationship Id="rId59" Type="http://schemas.openxmlformats.org/officeDocument/2006/relationships/hyperlink" Target="https://files.eric.ed.gov/fulltext/ED319930.pdf" TargetMode="External"/><Relationship Id="rId14" Type="http://schemas.openxmlformats.org/officeDocument/2006/relationships/hyperlink" Target="https://irvine.georgetown.domains/articles/Irvine-Semiotics%20in%20Computation%20and%20Information%20Systems-Bloomsbury%20Semiotics-v2-finalproofs.pdf" TargetMode="External"/><Relationship Id="rId58" Type="http://schemas.openxmlformats.org/officeDocument/2006/relationships/hyperlink" Target="https://github.com/AlgebraicJulia/Catlab.jl" TargetMode="External"/><Relationship Id="rId17" Type="http://schemas.openxmlformats.org/officeDocument/2006/relationships/hyperlink" Target="https://ro.uow.edu.au/ndownloader/files/50564043" TargetMode="External"/><Relationship Id="rId16" Type="http://schemas.openxmlformats.org/officeDocument/2006/relationships/hyperlink" Target="https://www.researchgate.net/publication/38449594_An_information_system_in_its_organisational_contexts_a_systemic_semiotic_longitudinal_case_study" TargetMode="External"/><Relationship Id="rId19" Type="http://schemas.openxmlformats.org/officeDocument/2006/relationships/hyperlink" Target="https://www.researchgate.net/publication/377591184_Systems_Engineering_Using_Category_Theory" TargetMode="External"/><Relationship Id="rId18" Type="http://schemas.openxmlformats.org/officeDocument/2006/relationships/hyperlink" Target="https://dovdori.technion.ac.il/wp-content/uploads/2022/05/Modeling-Knowledge-with-Object-Process-Methodology.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